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4592"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ACORDO DE COOPERAÇÃO TÉCNICA QUE ENTRE SI CELEBRAM A UNIVERSIDADE FEDERAL DA INTEGRAÇÃO LATINO-AMERICANA - UNILA, E A </w:t>
      </w:r>
      <w:r>
        <w:rPr>
          <w:rFonts w:eastAsia="Times New Roman" w:cs="Times New Roman"/>
          <w:b/>
          <w:i w:val="false"/>
          <w:caps w:val="false"/>
          <w:smallCaps w:val="false"/>
          <w:strike w:val="false"/>
          <w:dstrike w:val="false"/>
          <w:color w:val="000000"/>
          <w:position w:val="0"/>
          <w:sz w:val="24"/>
          <w:sz w:val="24"/>
          <w:szCs w:val="24"/>
          <w:highlight w:val="yellow"/>
          <w:u w:val="none"/>
          <w:vertAlign w:val="baseline"/>
        </w:rPr>
        <w:t>XXXXXXXXXXXXXXXXXXXXX</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w:t>
      </w:r>
    </w:p>
    <w:p>
      <w:pPr>
        <w:pStyle w:val="LOnormal"/>
        <w:spacing w:lineRule="auto" w:line="360"/>
        <w:jc w:val="both"/>
        <w:rPr/>
      </w:pPr>
      <w:r>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A UNIVERSIDADE FEDERAL DA INTEGRAÇÃO LATINO-AMERICANA (UNILA)</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sediada à Avenida Tancredo Neves, nº 6731, Jardim Itaipu, CEP: 85.867-900, FPTI Bloco 4, Espaço 4, Sala 3, na cidade de Foz do Iguaçu, Estado do Paraná, neste ato representada por sua Reitora,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DIANA ARAUJO PEREIRA</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nomeada conforme Decreto Presidencial de 13 de junho de 2023, publicada no Diário Oficial da União do dia 13 de junho de 2023, Seção 2, Página 1, doravante denominada simplesmente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UNILA,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e a </w:t>
      </w:r>
      <w:r>
        <w:rPr>
          <w:rFonts w:eastAsia="Times New Roman" w:cs="Times New Roman"/>
          <w:b/>
          <w:i w:val="false"/>
          <w:caps w:val="false"/>
          <w:smallCaps w:val="false"/>
          <w:strike w:val="false"/>
          <w:dstrike w:val="false"/>
          <w:color w:val="000000"/>
          <w:position w:val="0"/>
          <w:sz w:val="24"/>
          <w:sz w:val="24"/>
          <w:szCs w:val="24"/>
          <w:highlight w:val="yellow"/>
          <w:u w:val="none"/>
          <w:vertAlign w:val="baseline"/>
        </w:rPr>
        <w:t>XXXXXXXXXXXXXXX</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pessoa jurídica de direito xxxxxxxxxxxxxx</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 xml:space="preserve">com sede em xxxxxxxxxxxxxxxxxxx, inscrita no CNPJ n.º xx.xxx.xxx/xxxx-xx, ora representada por seu/sua xxxxxxx Sr(a) </w:t>
      </w:r>
      <w:r>
        <w:rPr>
          <w:rFonts w:eastAsia="Times New Roman" w:cs="Times New Roman"/>
          <w:b/>
          <w:i w:val="false"/>
          <w:caps w:val="false"/>
          <w:smallCaps w:val="false"/>
          <w:strike w:val="false"/>
          <w:dstrike w:val="false"/>
          <w:color w:val="000000"/>
          <w:position w:val="0"/>
          <w:sz w:val="24"/>
          <w:sz w:val="24"/>
          <w:szCs w:val="24"/>
          <w:highlight w:val="yellow"/>
          <w:u w:val="none"/>
          <w:vertAlign w:val="baseline"/>
        </w:rPr>
        <w:t>xxxxxxxxxxxx</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 brasileiro (a), portador (a) da cédula de identidade RG n.º xxxxxxxx - SSP/xx,doravante denominada simplesmente XXXXX;</w:t>
      </w:r>
    </w:p>
    <w:p>
      <w:pPr>
        <w:pStyle w:val="LOnormal"/>
        <w:tabs>
          <w:tab w:val="clear" w:pos="720"/>
          <w:tab w:val="right" w:pos="9071" w:leader="none"/>
        </w:tabs>
        <w:jc w:val="both"/>
        <w:rPr/>
      </w:pPr>
      <w:r>
        <w:rPr/>
        <w:t xml:space="preserve">considerando o que consta no Processo Administrativo da Universidade Federal da Integração Latino-Americana, Nº </w:t>
      </w:r>
      <w:r>
        <w:rPr>
          <w:highlight w:val="yellow"/>
        </w:rPr>
        <w:t>xxxxxxx</w:t>
      </w:r>
      <w:r>
        <w:rPr/>
        <w:t>/201</w:t>
      </w:r>
      <w:r>
        <w:rPr>
          <w:highlight w:val="yellow"/>
        </w:rPr>
        <w:t>x</w:t>
      </w:r>
      <w:r>
        <w:rPr/>
        <w:t>-</w:t>
      </w:r>
      <w:r>
        <w:rPr>
          <w:highlight w:val="yellow"/>
        </w:rPr>
        <w:t>xx</w:t>
      </w:r>
      <w:r>
        <w:rPr/>
        <w:t>;</w:t>
      </w:r>
    </w:p>
    <w:p>
      <w:pPr>
        <w:pStyle w:val="LOnormal"/>
        <w:jc w:val="both"/>
        <w:rPr/>
      </w:pPr>
      <w:r>
        <w:rPr/>
        <w:t xml:space="preserve">no uso das atribuições legais que lhe conferem seus regramentos, respectivamente, resolvem, em comum acordo, celebrar o presente instrumento, </w:t>
      </w:r>
      <w:r>
        <w:rPr>
          <w:color w:val="000000"/>
        </w:rPr>
        <w:t xml:space="preserve">observando os preceitos e princípios de Direito Público, e no que couber o contido na </w:t>
      </w:r>
      <w:r>
        <w:rPr>
          <w:shd w:fill="FFFFFF" w:val="clear"/>
        </w:rPr>
        <w:t>Lei Federal n.º 14.133, de 1º de abril de 2021</w:t>
      </w:r>
      <w:r>
        <w:rPr/>
        <w:t xml:space="preserve"> e suas alterações posteriores, tendo entre si justas e acordadas as seguintes condições:</w:t>
      </w:r>
    </w:p>
    <w:p>
      <w:pPr>
        <w:pStyle w:val="LOnormal"/>
        <w:keepNext w:val="true"/>
        <w:keepLines w:val="false"/>
        <w:pageBreakBefore w:val="false"/>
        <w:widowControl/>
        <w:numPr>
          <w:ilvl w:val="1"/>
          <w:numId w:val="1"/>
        </w:numPr>
        <w:shd w:val="clear" w:fill="auto"/>
        <w:tabs>
          <w:tab w:val="clear" w:pos="720"/>
          <w:tab w:val="left" w:pos="0" w:leader="none"/>
          <w:tab w:val="left" w:pos="1701" w:leader="none"/>
        </w:tabs>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CAPÍTULO I – DO OBJETO</w:t>
      </w:r>
    </w:p>
    <w:p>
      <w:pPr>
        <w:pStyle w:val="LOnormal"/>
        <w:keepNext w:val="false"/>
        <w:keepLines w:val="false"/>
        <w:pageBreakBefore w:val="false"/>
        <w:widowControl/>
        <w:shd w:val="clear" w:fill="auto"/>
        <w:spacing w:lineRule="auto" w:line="48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CLÁUSULA PRIMEIRA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O presente Acordo de Cooperação Técnica tem como objeto a  </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xxxxxxxxxxxxxxxxxxxxxxxxxxxxxxxxxxxxx</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conforme Plano de Trabalho denominado como Anexo I, integrante do presente Acordo de Cooperação Técnica.</w:t>
      </w:r>
    </w:p>
    <w:p>
      <w:pPr>
        <w:pStyle w:val="LOnormal"/>
        <w:keepNext w:val="false"/>
        <w:keepLines w:val="false"/>
        <w:pageBreakBefore w:val="false"/>
        <w:widowControl/>
        <w:shd w:val="clear" w:fill="auto"/>
        <w:spacing w:lineRule="auto" w:line="48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CAPÍTULO II – DAS OBRIGAÇÕES</w:t>
      </w:r>
    </w:p>
    <w:p>
      <w:pPr>
        <w:pStyle w:val="LOnormal"/>
        <w:jc w:val="both"/>
        <w:rPr/>
      </w:pPr>
      <w:r>
        <w:rPr>
          <w:b/>
        </w:rPr>
        <w:t xml:space="preserve">CLÁUSULA SEGUNDA </w:t>
      </w:r>
      <w:r>
        <w:rPr>
          <w:b/>
          <w:color w:val="000000"/>
        </w:rPr>
        <w:t xml:space="preserve">– </w:t>
      </w:r>
      <w:r>
        <w:rPr/>
        <w:t xml:space="preserve">As obrigações da Unila e da </w:t>
      </w:r>
      <w:r>
        <w:rPr>
          <w:highlight w:val="yellow"/>
        </w:rPr>
        <w:t>XXXXX</w:t>
      </w:r>
      <w:r>
        <w:rPr/>
        <w:t xml:space="preserve"> são àquelas previstas no Plano de Trabalho do presente instrumento e nas cláusulas seguintes.</w:t>
      </w:r>
    </w:p>
    <w:p>
      <w:pPr>
        <w:pStyle w:val="LOnormal"/>
        <w:tabs>
          <w:tab w:val="clear" w:pos="720"/>
          <w:tab w:val="left" w:pos="0" w:leader="none"/>
          <w:tab w:val="left" w:pos="284" w:leader="none"/>
          <w:tab w:val="left" w:pos="567" w:leader="none"/>
          <w:tab w:val="left" w:pos="850" w:leader="none"/>
          <w:tab w:val="left" w:pos="1134" w:leader="none"/>
          <w:tab w:val="left" w:pos="1418" w:leader="none"/>
          <w:tab w:val="left" w:pos="1701" w:leader="none"/>
          <w:tab w:val="left" w:pos="1985" w:leader="none"/>
          <w:tab w:val="left" w:pos="2268" w:leader="none"/>
          <w:tab w:val="left" w:pos="2552" w:leader="none"/>
          <w:tab w:val="left" w:pos="2835" w:leader="none"/>
          <w:tab w:val="left" w:pos="3403" w:leader="none"/>
          <w:tab w:val="left" w:pos="3969" w:leader="none"/>
          <w:tab w:val="left" w:pos="4536" w:leader="none"/>
          <w:tab w:val="left" w:pos="5104" w:leader="none"/>
          <w:tab w:val="left" w:pos="5670" w:leader="none"/>
          <w:tab w:val="left" w:pos="6237" w:leader="none"/>
          <w:tab w:val="left" w:pos="6806" w:leader="none"/>
          <w:tab w:val="left" w:pos="7371" w:leader="none"/>
          <w:tab w:val="left" w:pos="7938" w:leader="none"/>
          <w:tab w:val="left" w:pos="8508" w:leader="none"/>
          <w:tab w:val="left" w:pos="9072" w:leader="none"/>
          <w:tab w:val="left" w:pos="9639" w:leader="none"/>
        </w:tabs>
        <w:jc w:val="both"/>
        <w:rPr/>
      </w:pPr>
      <w:r>
        <w:rPr>
          <w:b/>
        </w:rPr>
        <w:t>CLÁUSULA TERCEIRA</w:t>
      </w:r>
      <w:r>
        <w:rPr/>
        <w:t xml:space="preserve"> </w:t>
      </w:r>
      <w:r>
        <w:rPr>
          <w:b/>
          <w:color w:val="000000"/>
        </w:rPr>
        <w:t xml:space="preserve">– </w:t>
      </w:r>
      <w:r>
        <w:rPr/>
        <w:t>Os partícipes serão, cada qual, responsáveis pelas atividades desenvolvidas por seus servidores, estudantes ou profissionais contratados, em decorrência do presente instrumento.</w:t>
      </w:r>
    </w:p>
    <w:p>
      <w:pPr>
        <w:pStyle w:val="LOnormal"/>
        <w:jc w:val="both"/>
        <w:rPr/>
      </w:pPr>
      <w:r>
        <w:rPr>
          <w:b/>
        </w:rPr>
        <w:t xml:space="preserve">CLÁUSULA QUARTA </w:t>
      </w:r>
      <w:r>
        <w:rPr>
          <w:b/>
          <w:color w:val="000000"/>
        </w:rPr>
        <w:t>–</w:t>
      </w:r>
      <w:r>
        <w:rPr/>
        <w:t xml:space="preserve"> O presente instrumento não estabelece nenhum vínculo empregatício ou de qualquer outra natureza entre os profissionais dos partícipes envolvidos neste Acordo de Cooperação Técnica, ficando os partícipes isentos de qualquer obrigação de natureza trabalhista, previdenciária, tributária e securitária em relação aos profissionais dos partícipes.</w:t>
      </w:r>
    </w:p>
    <w:p>
      <w:pPr>
        <w:pStyle w:val="LOnormal"/>
        <w:tabs>
          <w:tab w:val="clear" w:pos="720"/>
          <w:tab w:val="left" w:pos="-1248" w:leader="none"/>
          <w:tab w:val="left" w:pos="-720" w:leader="none"/>
          <w:tab w:val="left" w:pos="0" w:leader="none"/>
          <w:tab w:val="left" w:pos="3600" w:leader="none"/>
        </w:tabs>
        <w:jc w:val="both"/>
        <w:rPr/>
      </w:pPr>
      <w:r>
        <w:rPr>
          <w:b/>
        </w:rPr>
        <w:t>CLÁUSULA QUINTA</w:t>
      </w:r>
      <w:r>
        <w:rPr/>
        <w:t xml:space="preserve"> </w:t>
      </w:r>
      <w:r>
        <w:rPr>
          <w:b/>
          <w:color w:val="000000"/>
        </w:rPr>
        <w:t>–</w:t>
      </w:r>
      <w:r>
        <w:rPr>
          <w:b/>
        </w:rPr>
        <w:t xml:space="preserve"> </w:t>
      </w:r>
      <w:r>
        <w:rPr/>
        <w:t>Cada parte responsabilizar-se-á por prejuízos causados por si ou pelos seus prepostos a pessoas ou bens, na execução deste Acordo de Cooperação Técnica, e resultantes de atos ou omissões culposas, tais como negligência, imprudência ou imperícia, na medida em que tais danos não estejam cobertos por seguros.</w:t>
      </w:r>
    </w:p>
    <w:p>
      <w:pPr>
        <w:pStyle w:val="LOnormal"/>
        <w:ind w:firstLine="900"/>
        <w:jc w:val="both"/>
        <w:rPr/>
      </w:pPr>
      <w:r>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CAPÍTULO III – DOS RECURSOS</w:t>
      </w:r>
    </w:p>
    <w:p>
      <w:pPr>
        <w:pStyle w:val="LOnormal"/>
        <w:jc w:val="both"/>
        <w:rPr/>
      </w:pPr>
      <w:r>
        <w:rPr>
          <w:b/>
        </w:rPr>
        <w:t xml:space="preserve">CLÁUSULA SEXTA </w:t>
      </w:r>
      <w:r>
        <w:rPr>
          <w:b/>
          <w:color w:val="000000"/>
        </w:rPr>
        <w:t>–</w:t>
      </w:r>
      <w:r>
        <w:rPr/>
        <w:t xml:space="preserve"> O presente Acordo de Cooperação Técnica não contempla a transferência de recursos financeiros entre os partícipes e não possui natureza contratual.</w:t>
      </w:r>
    </w:p>
    <w:p>
      <w:pPr>
        <w:pStyle w:val="LOnormal"/>
        <w:jc w:val="both"/>
        <w:rPr/>
      </w:pPr>
      <w:r>
        <w:rPr>
          <w:b/>
        </w:rPr>
        <w:t xml:space="preserve">CLÁUSULA SÉTIMA </w:t>
      </w:r>
      <w:r>
        <w:rPr>
          <w:b/>
          <w:color w:val="000000"/>
        </w:rPr>
        <w:t>–</w:t>
      </w:r>
      <w:r>
        <w:rPr/>
        <w:t xml:space="preserve"> Eventuais despesas serão custeadas pelos respectivos orçamentos dos partícipes, não se aplicando ao presente instrumento as exigências estabelecidas no Decreto nº 6.170/2007, na Portaria Interministerial MPOG/MF/CGU n° 424, de 30 de dezembro de 2016, e Portaria Interministerial MPOG/MF/CGU nº 451, de 18 de dezembro de 2017.</w:t>
      </w:r>
    </w:p>
    <w:p>
      <w:pPr>
        <w:pStyle w:val="LOnormal"/>
        <w:jc w:val="both"/>
        <w:rPr>
          <w:b/>
          <w:b/>
        </w:rPr>
      </w:pPr>
      <w:r>
        <w:rPr>
          <w:b/>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CAPÍTULO IV – DA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COORDENAÇÃO</w:t>
      </w:r>
    </w:p>
    <w:p>
      <w:pPr>
        <w:pStyle w:val="LOnormal"/>
        <w:jc w:val="both"/>
        <w:rPr/>
      </w:pPr>
      <w:r>
        <w:rPr>
          <w:b/>
        </w:rPr>
        <w:t xml:space="preserve">CLÁUSULA OITAVA </w:t>
      </w:r>
      <w:r>
        <w:rPr>
          <w:b/>
          <w:color w:val="000000"/>
        </w:rPr>
        <w:t>–</w:t>
      </w:r>
      <w:r>
        <w:rPr/>
        <w:t xml:space="preserve"> Os partícipes designarão </w:t>
      </w:r>
      <w:r>
        <w:rPr/>
        <w:t>coordenadores</w:t>
      </w:r>
      <w:r>
        <w:rPr/>
        <w:t xml:space="preserve"> responsáveis pelo acompanhamento, anotações e registros de ocorrências, cabendo a cada um o dever de orientar as atividades na sua respectiva esfera de atuação e manter as condições estabelecidas neste Acordo de Cooperação Técnica.</w:t>
      </w:r>
    </w:p>
    <w:p>
      <w:pPr>
        <w:pStyle w:val="LOnormal"/>
        <w:jc w:val="both"/>
        <w:rPr/>
      </w:pPr>
      <w:r>
        <w:rPr>
          <w:b/>
        </w:rPr>
        <w:t xml:space="preserve">CLÁUSULA NONA </w:t>
      </w:r>
      <w:r>
        <w:rPr>
          <w:b/>
          <w:color w:val="000000"/>
        </w:rPr>
        <w:t>–</w:t>
      </w:r>
      <w:r>
        <w:rPr/>
        <w:t xml:space="preserve"> Poderá haver, a qualquer tempo, substituição temporária ou definitiva dos </w:t>
      </w:r>
      <w:r>
        <w:rPr/>
        <w:t>coordenadores</w:t>
      </w:r>
      <w:r>
        <w:rPr/>
        <w:t xml:space="preserve"> de qualquer um dos partícipes, bastando a comunicação aos outros partícipes.</w:t>
      </w:r>
    </w:p>
    <w:p>
      <w:pPr>
        <w:pStyle w:val="LOnormal"/>
        <w:keepNext w:val="false"/>
        <w:keepLines w:val="false"/>
        <w:pageBreakBefore w:val="false"/>
        <w:widowControl/>
        <w:shd w:val="clear" w:fill="auto"/>
        <w:spacing w:lineRule="auto" w:line="240" w:before="0" w:after="0"/>
        <w:ind w:left="0" w:right="0" w:hanging="0"/>
        <w:jc w:val="both"/>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CLÁUSULA DÉCIMA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Todas as comunicações entre os partícipes serão formalizadas por</w:t>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escrito, encaminhadas aos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coordenadores</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designados e protocoladas no ato do recebimento.</w:t>
      </w:r>
    </w:p>
    <w:p>
      <w:pPr>
        <w:pStyle w:val="LOnormal"/>
        <w:keepNext w:val="false"/>
        <w:keepLines w:val="false"/>
        <w:pageBreakBefore w:val="false"/>
        <w:widowControl/>
        <w:shd w:val="clear" w:fill="auto"/>
        <w:spacing w:lineRule="auto" w:line="240" w:before="0" w:after="0"/>
        <w:ind w:left="0" w:right="0" w:hanging="0"/>
        <w:jc w:val="both"/>
        <w:rPr/>
      </w:pPr>
      <w:r>
        <w:rPr/>
      </w:r>
    </w:p>
    <w:p>
      <w:pPr>
        <w:pStyle w:val="LOnormal"/>
        <w:keepNext w:val="true"/>
        <w:widowControl/>
        <w:shd w:val="clear" w:fill="auto"/>
        <w:tabs>
          <w:tab w:val="clear" w:pos="720"/>
          <w:tab w:val="left" w:pos="0" w:leader="none"/>
        </w:tabs>
        <w:spacing w:lineRule="auto" w:line="240" w:before="0" w:after="240"/>
        <w:ind w:right="1380" w:hanging="0"/>
        <w:jc w:val="center"/>
        <w:rPr/>
      </w:pPr>
      <w:r>
        <w:rPr>
          <w:b/>
        </w:rPr>
        <w:t xml:space="preserve">CAPÍTULO V –  </w:t>
      </w:r>
      <w:r>
        <w:rPr>
          <w:b/>
        </w:rPr>
        <w:t>DA APLICAÇÃO</w:t>
      </w:r>
    </w:p>
    <w:p>
      <w:pPr>
        <w:pStyle w:val="LOnormal"/>
        <w:keepNext w:val="false"/>
        <w:keepLines w:val="false"/>
        <w:widowControl w:val="false"/>
        <w:shd w:val="clear" w:fill="auto"/>
        <w:spacing w:lineRule="auto" w:line="240" w:before="0" w:after="0"/>
        <w:ind w:left="0" w:right="0" w:hanging="0"/>
        <w:jc w:val="both"/>
        <w:rPr>
          <w:lang w:val="pt-BR" w:eastAsia="zh-CN" w:bidi="hi-IN"/>
        </w:rPr>
      </w:pPr>
      <w:r>
        <w:rPr>
          <w:rFonts w:eastAsia="Times New Roman" w:cs="Times New Roman"/>
          <w:b/>
          <w:i w:val="false"/>
          <w:caps w:val="false"/>
          <w:smallCaps w:val="false"/>
          <w:strike w:val="false"/>
          <w:dstrike w:val="false"/>
          <w:color w:val="000000"/>
          <w:position w:val="0"/>
          <w:sz w:val="22"/>
          <w:sz w:val="22"/>
          <w:u w:val="none"/>
          <w:shd w:fill="auto" w:val="clear"/>
          <w:vertAlign w:val="baseline"/>
          <w:lang w:val="pt-BR" w:eastAsia="zh-CN" w:bidi="hi-IN"/>
        </w:rPr>
        <w:t>CLÁUSULA DÉCIMA PRIMEIRA</w:t>
      </w:r>
      <w:r>
        <w:rPr>
          <w:rFonts w:eastAsia="Times New Roman" w:cs="Times New Roman"/>
          <w:i w:val="false"/>
          <w:caps w:val="false"/>
          <w:smallCaps w:val="false"/>
          <w:strike w:val="false"/>
          <w:dstrike w:val="false"/>
          <w:color w:val="000000"/>
          <w:position w:val="0"/>
          <w:sz w:val="22"/>
          <w:sz w:val="22"/>
          <w:u w:val="none"/>
          <w:shd w:fill="auto" w:val="clear"/>
          <w:vertAlign w:val="baseline"/>
          <w:lang w:val="pt-BR" w:eastAsia="zh-CN" w:bidi="hi-IN"/>
        </w:rPr>
        <w:t xml:space="preserve"> – </w:t>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lang w:val="pt-BR" w:eastAsia="zh-CN" w:bidi="hi-IN"/>
        </w:rPr>
        <w:t>Cada programa/projeto será executado de acordo com Plano de Trabalho específico, formulado em conjunto pelos coordenadores designados, contendo cronograma detalhado, previsão de recursos e demais disposições que manifestem a viabilidade de execução.</w:t>
      </w:r>
    </w:p>
    <w:p>
      <w:pPr>
        <w:pStyle w:val="LOnormal"/>
        <w:keepNext w:val="false"/>
        <w:keepLines w:val="false"/>
        <w:widowControl w:val="false"/>
        <w:shd w:val="clear" w:fill="auto"/>
        <w:spacing w:lineRule="auto" w:line="240" w:before="0" w:after="0"/>
        <w:ind w:left="0" w:right="0" w:hanging="0"/>
        <w:jc w:val="both"/>
        <w:rPr>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lang w:val="pt-BR" w:eastAsia="zh-CN" w:bidi="hi-IN"/>
        </w:rPr>
        <w:tab/>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pt-BR" w:eastAsia="zh-CN" w:bidi="hi-IN"/>
        </w:rPr>
        <w:t xml:space="preserve">§ 1º </w:t>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lang w:val="pt-BR" w:eastAsia="zh-CN" w:bidi="hi-IN"/>
        </w:rPr>
        <w:t>– Os aludidos planos de trabalho,</w:t>
      </w:r>
      <w:r>
        <w:rPr>
          <w:rFonts w:eastAsia="Times New Roman" w:cs="Times New Roman"/>
          <w:i w:val="false"/>
          <w:caps w:val="false"/>
          <w:smallCaps w:val="false"/>
          <w:strike w:val="false"/>
          <w:dstrike w:val="false"/>
          <w:color w:val="000000"/>
          <w:position w:val="0"/>
          <w:sz w:val="24"/>
          <w:sz w:val="24"/>
          <w:szCs w:val="24"/>
          <w:u w:val="none"/>
          <w:shd w:fill="FFFFFF" w:val="clear"/>
          <w:vertAlign w:val="baseline"/>
          <w:lang w:val="pt-BR" w:eastAsia="zh-CN" w:bidi="hi-IN"/>
        </w:rPr>
        <w:t xml:space="preserve"> no que couber,</w:t>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lang w:val="pt-BR" w:eastAsia="zh-CN" w:bidi="hi-IN"/>
        </w:rPr>
        <w:t xml:space="preserve"> deverão conter, no mínimo, os seguintes elementos,:</w:t>
      </w:r>
    </w:p>
    <w:p>
      <w:pPr>
        <w:pStyle w:val="LOnormal"/>
        <w:keepNext w:val="false"/>
        <w:keepLines w:val="false"/>
        <w:widowControl w:val="false"/>
        <w:numPr>
          <w:ilvl w:val="0"/>
          <w:numId w:val="2"/>
        </w:numPr>
        <w:shd w:val="clear" w:fill="auto"/>
        <w:tabs>
          <w:tab w:val="clear" w:pos="720"/>
          <w:tab w:val="left" w:pos="0" w:leader="none"/>
        </w:tabs>
        <w:spacing w:lineRule="auto" w:line="240" w:before="0" w:after="0"/>
        <w:jc w:val="both"/>
        <w:rPr>
          <w:sz w:val="24"/>
          <w:szCs w:val="24"/>
        </w:rPr>
      </w:pPr>
      <w:r>
        <w:rPr>
          <w:rFonts w:eastAsia="Times New Roman" w:cs="Times New Roman"/>
          <w:i w:val="false"/>
          <w:caps w:val="false"/>
          <w:smallCaps w:val="false"/>
          <w:strike w:val="false"/>
          <w:dstrike w:val="false"/>
          <w:color w:val="00000A"/>
          <w:position w:val="0"/>
          <w:sz w:val="24"/>
          <w:sz w:val="24"/>
          <w:szCs w:val="24"/>
          <w:u w:val="none"/>
          <w:shd w:fill="auto" w:val="clear"/>
          <w:vertAlign w:val="baseline"/>
          <w:lang w:val="pt-BR" w:eastAsia="zh-CN" w:bidi="hi-IN"/>
        </w:rPr>
        <w:t>Justificativa para a sua execução</w:t>
      </w:r>
    </w:p>
    <w:p>
      <w:pPr>
        <w:pStyle w:val="LOnormal"/>
        <w:widowControl w:val="false"/>
        <w:numPr>
          <w:ilvl w:val="0"/>
          <w:numId w:val="2"/>
        </w:numPr>
        <w:shd w:val="clear" w:fill="auto"/>
        <w:tabs>
          <w:tab w:val="clear" w:pos="720"/>
          <w:tab w:val="left" w:pos="0" w:leader="none"/>
        </w:tabs>
        <w:spacing w:lineRule="auto" w:line="240" w:before="0" w:after="0"/>
        <w:jc w:val="both"/>
        <w:rPr>
          <w:sz w:val="24"/>
          <w:szCs w:val="24"/>
        </w:rPr>
      </w:pPr>
      <w:r>
        <w:rPr>
          <w:rFonts w:eastAsia="Times New Roman" w:cs="Times New Roman"/>
          <w:i w:val="false"/>
          <w:caps w:val="false"/>
          <w:smallCaps w:val="false"/>
          <w:strike w:val="false"/>
          <w:dstrike w:val="false"/>
          <w:color w:val="00000A"/>
          <w:position w:val="0"/>
          <w:sz w:val="24"/>
          <w:sz w:val="24"/>
          <w:szCs w:val="24"/>
          <w:u w:val="none"/>
          <w:shd w:fill="auto" w:val="clear"/>
          <w:vertAlign w:val="baseline"/>
          <w:lang w:val="pt-BR" w:eastAsia="zh-CN" w:bidi="hi-IN"/>
        </w:rPr>
        <w:t>Descrição completa do objeto, metas e etapas;</w:t>
      </w:r>
    </w:p>
    <w:p>
      <w:pPr>
        <w:pStyle w:val="LOnormal"/>
        <w:widowControl w:val="false"/>
        <w:numPr>
          <w:ilvl w:val="0"/>
          <w:numId w:val="2"/>
        </w:numPr>
        <w:shd w:val="clear" w:fill="auto"/>
        <w:tabs>
          <w:tab w:val="clear" w:pos="720"/>
          <w:tab w:val="left" w:pos="0" w:leader="none"/>
        </w:tabs>
        <w:spacing w:lineRule="auto" w:line="240" w:before="0" w:after="0"/>
        <w:jc w:val="both"/>
        <w:rPr>
          <w:sz w:val="24"/>
          <w:szCs w:val="24"/>
        </w:rPr>
      </w:pPr>
      <w:r>
        <w:rPr>
          <w:rFonts w:eastAsia="Times New Roman" w:cs="Times New Roman"/>
          <w:i w:val="false"/>
          <w:caps w:val="false"/>
          <w:smallCaps w:val="false"/>
          <w:strike w:val="false"/>
          <w:dstrike w:val="false"/>
          <w:color w:val="00000A"/>
          <w:position w:val="0"/>
          <w:sz w:val="24"/>
          <w:sz w:val="24"/>
          <w:szCs w:val="24"/>
          <w:u w:val="none"/>
          <w:shd w:fill="auto" w:val="clear"/>
          <w:vertAlign w:val="baseline"/>
          <w:lang w:val="pt-BR" w:eastAsia="zh-CN" w:bidi="hi-IN"/>
        </w:rPr>
        <w:t>Demonstração de compatibilidade de custos</w:t>
      </w:r>
    </w:p>
    <w:p>
      <w:pPr>
        <w:pStyle w:val="LOnormal"/>
        <w:widowControl w:val="false"/>
        <w:numPr>
          <w:ilvl w:val="0"/>
          <w:numId w:val="2"/>
        </w:numPr>
        <w:shd w:val="clear" w:fill="auto"/>
        <w:tabs>
          <w:tab w:val="clear" w:pos="720"/>
          <w:tab w:val="left" w:pos="0" w:leader="none"/>
        </w:tabs>
        <w:spacing w:lineRule="auto" w:line="240" w:before="0" w:after="0"/>
        <w:jc w:val="both"/>
        <w:rPr>
          <w:sz w:val="24"/>
          <w:szCs w:val="24"/>
        </w:rPr>
      </w:pPr>
      <w:r>
        <w:rPr>
          <w:rFonts w:eastAsia="Times New Roman" w:cs="Times New Roman"/>
          <w:i w:val="false"/>
          <w:caps w:val="false"/>
          <w:smallCaps w:val="false"/>
          <w:strike w:val="false"/>
          <w:dstrike w:val="false"/>
          <w:color w:val="00000A"/>
          <w:position w:val="0"/>
          <w:sz w:val="24"/>
          <w:sz w:val="24"/>
          <w:szCs w:val="24"/>
          <w:u w:val="none"/>
          <w:shd w:fill="auto" w:val="clear"/>
          <w:vertAlign w:val="baseline"/>
          <w:lang w:val="pt-BR" w:eastAsia="zh-CN" w:bidi="hi-IN"/>
        </w:rPr>
        <w:t>Cronograma físico e financeiro</w:t>
      </w:r>
    </w:p>
    <w:p>
      <w:pPr>
        <w:pStyle w:val="LOnormal"/>
        <w:widowControl w:val="false"/>
        <w:numPr>
          <w:ilvl w:val="0"/>
          <w:numId w:val="2"/>
        </w:numPr>
        <w:shd w:val="clear" w:fill="auto"/>
        <w:tabs>
          <w:tab w:val="clear" w:pos="720"/>
          <w:tab w:val="left" w:pos="0" w:leader="none"/>
        </w:tabs>
        <w:spacing w:lineRule="auto" w:line="240" w:before="0" w:after="0"/>
        <w:jc w:val="both"/>
        <w:rPr>
          <w:sz w:val="24"/>
          <w:szCs w:val="24"/>
        </w:rPr>
      </w:pPr>
      <w:r>
        <w:rPr>
          <w:rFonts w:eastAsia="Times New Roman" w:cs="Times New Roman"/>
          <w:i w:val="false"/>
          <w:caps w:val="false"/>
          <w:smallCaps w:val="false"/>
          <w:strike w:val="false"/>
          <w:dstrike w:val="false"/>
          <w:color w:val="00000A"/>
          <w:position w:val="0"/>
          <w:sz w:val="24"/>
          <w:sz w:val="24"/>
          <w:szCs w:val="24"/>
          <w:u w:val="none"/>
          <w:shd w:fill="auto" w:val="clear"/>
          <w:vertAlign w:val="baseline"/>
          <w:lang w:val="pt-BR" w:eastAsia="zh-CN" w:bidi="hi-IN"/>
        </w:rPr>
        <w:t>Plano de Aplicação Detalhado</w:t>
      </w:r>
    </w:p>
    <w:p>
      <w:pPr>
        <w:pStyle w:val="LOnormal"/>
        <w:keepNext w:val="false"/>
        <w:keepLines w:val="false"/>
        <w:widowControl w:val="false"/>
        <w:shd w:val="clear" w:fill="auto"/>
        <w:spacing w:lineRule="auto" w:line="240" w:before="0" w:after="0"/>
        <w:ind w:left="0" w:right="0" w:hanging="0"/>
        <w:jc w:val="both"/>
        <w:rPr>
          <w:sz w:val="24"/>
          <w:szCs w:val="24"/>
        </w:rPr>
      </w:pPr>
      <w:r>
        <w:rPr>
          <w:rFonts w:eastAsia="Times New Roman" w:cs="Times New Roman"/>
          <w:i w:val="false"/>
          <w:caps w:val="false"/>
          <w:smallCaps w:val="false"/>
          <w:strike w:val="false"/>
          <w:dstrike w:val="false"/>
          <w:color w:val="00000A"/>
          <w:position w:val="0"/>
          <w:sz w:val="24"/>
          <w:sz w:val="24"/>
          <w:szCs w:val="24"/>
          <w:u w:val="none"/>
          <w:shd w:fill="auto" w:val="clear"/>
          <w:vertAlign w:val="baseline"/>
          <w:lang w:val="pt-BR" w:eastAsia="zh-CN" w:bidi="hi-IN"/>
        </w:rPr>
        <w:tab/>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pt-BR" w:eastAsia="zh-CN" w:bidi="hi-IN"/>
        </w:rPr>
        <w:t xml:space="preserve">§ 2º </w:t>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lang w:val="pt-BR" w:eastAsia="zh-CN" w:bidi="hi-IN"/>
        </w:rPr>
        <w:t>- Finalizadas as atividades propostas no Plano de Trabalho, deverá ser apresentado um relatório de retroalimentação, demonstrando os resultados obtidos e os impactos efetivamente gerados.</w:t>
      </w:r>
    </w:p>
    <w:p>
      <w:pPr>
        <w:pStyle w:val="LOnormal"/>
        <w:keepNext w:val="false"/>
        <w:keepLines w:val="false"/>
        <w:widowControl w:val="false"/>
        <w:shd w:val="clear" w:fill="auto"/>
        <w:tabs>
          <w:tab w:val="clear" w:pos="720"/>
          <w:tab w:val="left" w:pos="0"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lang w:val="pt-BR" w:eastAsia="zh-CN" w:bidi="hi-IN"/>
        </w:rPr>
      </w:pPr>
      <w:r>
        <w:rPr>
          <w:rFonts w:eastAsia="Times New Roman" w:cs="Times New Roman"/>
          <w:b/>
          <w:i w:val="false"/>
          <w:caps w:val="false"/>
          <w:smallCaps w:val="false"/>
          <w:strike w:val="false"/>
          <w:dstrike w:val="false"/>
          <w:color w:val="000000"/>
          <w:position w:val="0"/>
          <w:sz w:val="22"/>
          <w:sz w:val="22"/>
          <w:u w:val="none"/>
          <w:shd w:fill="auto" w:val="clear"/>
          <w:vertAlign w:val="baseline"/>
          <w:lang w:val="pt-BR" w:eastAsia="zh-CN" w:bidi="hi-IN"/>
        </w:rPr>
      </w:r>
    </w:p>
    <w:p>
      <w:pPr>
        <w:pStyle w:val="LOnormal"/>
        <w:keepNext w:val="false"/>
        <w:keepLines w:val="false"/>
        <w:pageBreakBefore w:val="false"/>
        <w:widowControl/>
        <w:shd w:val="clear" w:fill="auto"/>
        <w:spacing w:lineRule="auto" w:line="240" w:before="0" w:after="0"/>
        <w:ind w:left="0" w:right="0" w:hanging="0"/>
        <w:jc w:val="both"/>
        <w:rPr/>
      </w:pPr>
      <w:r>
        <w:rPr/>
      </w:r>
    </w:p>
    <w:p>
      <w:pPr>
        <w:pStyle w:val="LOnormal"/>
        <w:keepNext w:val="true"/>
        <w:widowControl/>
        <w:tabs>
          <w:tab w:val="clear" w:pos="720"/>
          <w:tab w:val="left" w:pos="0" w:leader="none"/>
        </w:tabs>
        <w:spacing w:lineRule="auto" w:line="240" w:before="0" w:after="240"/>
        <w:ind w:right="1380" w:hanging="0"/>
        <w:jc w:val="center"/>
        <w:rPr/>
      </w:pPr>
      <w:r>
        <w:rPr>
          <w:b/>
        </w:rPr>
        <w:t>CAPÍTULO V</w:t>
      </w:r>
      <w:r>
        <w:rPr>
          <w:b/>
        </w:rPr>
        <w:t>I</w:t>
      </w:r>
      <w:r>
        <w:rPr>
          <w:b/>
        </w:rPr>
        <w:t xml:space="preserve"> – DIVULGAÇÃO E PARTICIPAÇÃO NOS RESULTADOS</w:t>
      </w:r>
    </w:p>
    <w:p>
      <w:pPr>
        <w:pStyle w:val="LOnormal"/>
        <w:keepNext w:val="true"/>
        <w:widowControl/>
        <w:tabs>
          <w:tab w:val="clear" w:pos="720"/>
          <w:tab w:val="left" w:pos="0" w:leader="none"/>
        </w:tabs>
        <w:spacing w:lineRule="auto" w:line="240" w:before="0" w:after="240"/>
        <w:ind w:right="100" w:hanging="0"/>
        <w:jc w:val="both"/>
        <w:rPr>
          <w:b/>
          <w:b/>
        </w:rPr>
      </w:pPr>
      <w:r>
        <w:rPr>
          <w:b/>
        </w:rPr>
        <w:t xml:space="preserve">CLÁUSULA DÉCIMA </w:t>
      </w:r>
      <w:r>
        <w:rPr>
          <w:b/>
        </w:rPr>
        <w:t>SEGUNDA</w:t>
      </w:r>
      <w:r>
        <w:rPr/>
        <w:t xml:space="preserve"> – Os partícipes comprometem-se a submeter, previamente a divulgação, para o consentimento formal do outro, quaisquer trabalhos, resultados e inovações resultantes da colaboração prevista neste Acordo, bem como, a mencionar explicitamente a natureza e a proveniência da cooperação recebida, sendo vedada a sua utilização e divulgação, total ou parcial, sem o consentimento prévio e formal de ambas as partes.</w:t>
      </w:r>
    </w:p>
    <w:p>
      <w:pPr>
        <w:pStyle w:val="LOnormal"/>
        <w:keepNext w:val="true"/>
        <w:widowControl/>
        <w:tabs>
          <w:tab w:val="clear" w:pos="720"/>
          <w:tab w:val="left" w:pos="0" w:leader="none"/>
        </w:tabs>
        <w:spacing w:lineRule="auto" w:line="240" w:before="240" w:after="240"/>
        <w:ind w:right="100" w:hanging="0"/>
        <w:jc w:val="both"/>
        <w:rPr/>
      </w:pPr>
      <w:r>
        <w:rPr>
          <w:b/>
        </w:rPr>
        <w:t xml:space="preserve">CLÁUSULA DÉCIMA </w:t>
      </w:r>
      <w:r>
        <w:rPr>
          <w:b/>
        </w:rPr>
        <w:t>TERCEIRA</w:t>
      </w:r>
      <w:r>
        <w:rPr/>
        <w:t xml:space="preserve"> – Os partícipes comprometem-se a proteger as Tecnologias e os direitos autorais conforme a legislação vigente, não importando a ausência de proteção, contudo, em renúncia aos direitos ora regulados.</w:t>
        <w:br/>
      </w:r>
    </w:p>
    <w:p>
      <w:pPr>
        <w:pStyle w:val="LOnormal"/>
        <w:keepNext w:val="true"/>
        <w:widowControl/>
        <w:tabs>
          <w:tab w:val="clear" w:pos="720"/>
          <w:tab w:val="left" w:pos="0" w:leader="none"/>
        </w:tabs>
        <w:spacing w:lineRule="auto" w:line="240" w:before="240" w:after="240"/>
        <w:ind w:right="1380" w:hanging="0"/>
        <w:jc w:val="center"/>
        <w:rPr/>
      </w:pPr>
      <w:r>
        <w:rPr>
          <w:b/>
        </w:rPr>
        <w:t>CAPÍTULO VI</w:t>
      </w:r>
      <w:r>
        <w:rPr>
          <w:b/>
        </w:rPr>
        <w:t>I</w:t>
      </w:r>
      <w:r>
        <w:rPr>
          <w:b/>
        </w:rPr>
        <w:t xml:space="preserve"> – DA PROTEÇÃO DE DADOS PESSOAIS</w:t>
      </w:r>
    </w:p>
    <w:p>
      <w:pPr>
        <w:pStyle w:val="LOnormal"/>
        <w:keepNext w:val="true"/>
        <w:widowControl/>
        <w:tabs>
          <w:tab w:val="clear" w:pos="720"/>
          <w:tab w:val="left" w:pos="0" w:leader="none"/>
        </w:tabs>
        <w:spacing w:lineRule="auto" w:line="240" w:before="240" w:after="240"/>
        <w:ind w:right="60" w:hanging="0"/>
        <w:jc w:val="both"/>
        <w:rPr/>
      </w:pPr>
      <w:r>
        <w:rPr>
          <w:b/>
        </w:rPr>
        <w:t xml:space="preserve">CLÁUSULA DÉCIMA </w:t>
      </w:r>
      <w:r>
        <w:rPr>
          <w:b/>
        </w:rPr>
        <w:t>QUARTA</w:t>
      </w:r>
      <w:r>
        <w:rPr/>
        <w:t xml:space="preserve"> – Os partícipes reconhecem que, para a execução da COOPERAÇÃO, será necessário o tratamento de determinados dados pessoais, e se comprometem a cumprir as disposições da Lei nº 13.709, de 14 de agosto de 2018 – Lei Geral de Proteção de dados (‘LGPD’) e demais legislação aplicável à proteção de dados pessoais e privacidade (‘Leis Aplicáveis à Proteção de Dados’).</w:t>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b/>
          <w:b/>
          <w:u w:val="none"/>
        </w:rPr>
      </w:pPr>
      <w:r>
        <w:rPr>
          <w:b/>
          <w:u w:val="none"/>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CAPÍTULO V</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III</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 DA VIGÊNCIA</w:t>
      </w:r>
    </w:p>
    <w:p>
      <w:pPr>
        <w:pStyle w:val="LOnormal"/>
        <w:jc w:val="both"/>
        <w:rPr/>
      </w:pPr>
      <w:r>
        <w:rPr>
          <w:b/>
        </w:rPr>
        <w:t>CLÁUSULA DÉCIMA QU</w:t>
      </w:r>
      <w:r>
        <w:rPr>
          <w:b/>
        </w:rPr>
        <w:t>INTA</w:t>
      </w:r>
      <w:r>
        <w:rPr>
          <w:b/>
        </w:rPr>
        <w:t xml:space="preserve"> </w:t>
      </w:r>
      <w:r>
        <w:rPr>
          <w:b/>
          <w:color w:val="000000"/>
        </w:rPr>
        <w:t>–</w:t>
      </w:r>
      <w:r>
        <w:rPr/>
        <w:t xml:space="preserve"> O presente Acordo de Cooperação Técnica possui vigência de 5 (cinco) anos, contados da data da assinatura, podendo ser modificado, complementado ou prorrogado mediante comum acordo entre as partes e celebração de Termo Aditivo, desde que não haja mudança do objeto.</w:t>
      </w:r>
    </w:p>
    <w:p>
      <w:pPr>
        <w:pStyle w:val="LOnormal"/>
        <w:jc w:val="both"/>
        <w:rPr/>
      </w:pPr>
      <w:r>
        <w:rPr>
          <w:b/>
        </w:rPr>
        <w:t xml:space="preserve">CLÁUSULA DÉCIMA </w:t>
      </w:r>
      <w:r>
        <w:rPr>
          <w:b/>
        </w:rPr>
        <w:t>SEXTA</w:t>
      </w:r>
      <w:r>
        <w:rPr>
          <w:b/>
        </w:rPr>
        <w:t xml:space="preserve"> </w:t>
      </w:r>
      <w:r>
        <w:rPr>
          <w:b/>
          <w:color w:val="000000"/>
        </w:rPr>
        <w:t>–</w:t>
      </w:r>
      <w:r>
        <w:rPr/>
        <w:t xml:space="preserve"> A solicitação de alteração formulada por quaisquer dos partícipes deverá estar devidamente justificada e ser apresentada no prazo de até 60 (sessenta) dias antes do término da vigência deste instrumento, a qual será previamente apreciada pelas partes e, se aprovada, incorporada a este instrumento mediante Termo Aditivo.</w:t>
      </w:r>
    </w:p>
    <w:p>
      <w:pPr>
        <w:pStyle w:val="LOnormal"/>
        <w:jc w:val="both"/>
        <w:rPr/>
      </w:pPr>
      <w:r>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CAPÍTULO I</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X</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 DA RESCISÃO</w:t>
      </w:r>
    </w:p>
    <w:p>
      <w:pPr>
        <w:pStyle w:val="LOnormal"/>
        <w:jc w:val="both"/>
        <w:rPr/>
      </w:pPr>
      <w:r>
        <w:rPr>
          <w:b/>
        </w:rPr>
        <w:t xml:space="preserve">CLÁUSULA DÉCIMA SÉTIMA  </w:t>
      </w:r>
      <w:r>
        <w:rPr>
          <w:b/>
          <w:color w:val="000000"/>
        </w:rPr>
        <w:t xml:space="preserve">– </w:t>
      </w:r>
      <w:r>
        <w:rPr>
          <w:color w:val="000000"/>
        </w:rPr>
        <w:t>O presente Ajuste poderá ser rescindido a qualquer tempo em comum acordo ou unilateralmente, independente de interpelação judicial ou extrajudicial, mediante comunicação por escrito à outra parte, com antecedência mínima de 60 (sessenta) dias.</w:t>
      </w:r>
    </w:p>
    <w:p>
      <w:pPr>
        <w:pStyle w:val="LOnormal"/>
        <w:jc w:val="both"/>
        <w:rPr/>
      </w:pPr>
      <w:r>
        <w:rPr>
          <w:b/>
        </w:rPr>
        <w:t xml:space="preserve">CLÁUSULA DÉCIMA OITAVA </w:t>
      </w:r>
      <w:r>
        <w:rPr>
          <w:b/>
          <w:color w:val="000000"/>
        </w:rPr>
        <w:t xml:space="preserve">– </w:t>
      </w:r>
      <w:r>
        <w:rPr>
          <w:color w:val="000000"/>
        </w:rPr>
        <w:t>Nos casos de rescisão deste Acordo, as pendências serão definidas e resolvidas por meio de Termo de Encerramento, definindo-se as responsabilidades relativas à conclusão das atividades ainda em execução.</w:t>
      </w:r>
    </w:p>
    <w:p>
      <w:pPr>
        <w:pStyle w:val="LOnormal"/>
        <w:jc w:val="both"/>
        <w:rPr/>
      </w:pPr>
      <w:r>
        <w:rPr/>
      </w:r>
    </w:p>
    <w:p>
      <w:pPr>
        <w:pStyle w:val="LOnormal"/>
        <w:keepNext w:val="true"/>
        <w:keepLines w:val="false"/>
        <w:pageBreakBefore w:val="false"/>
        <w:widowControl/>
        <w:numPr>
          <w:ilvl w:val="0"/>
          <w:numId w:val="1"/>
        </w:numPr>
        <w:shd w:val="clear" w:fill="auto"/>
        <w:tabs>
          <w:tab w:val="clear" w:pos="720"/>
          <w:tab w:val="left" w:pos="0" w:leader="none"/>
        </w:tabs>
        <w:spacing w:lineRule="auto" w:line="36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CAPÍTULO </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X</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 DA CONCILIAÇÃO E DO FORO</w:t>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CLÁUSULA DÉCIMA </w:t>
      </w:r>
      <w:r>
        <w:rPr>
          <w:b/>
        </w:rPr>
        <w:t>NONA</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 –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Os partícipes comprometem-se a submeter à conciliação eventuais controvérsias decorrentes do presente Ajuste, que será promovida pela Câmara de Conciliação e Arbitragem da Administração Federal (CCAF), no âmbito da Advocacia Geral da União, nos termos do Art. 109, I da Constituição Federal, do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Decreto </w:t>
      </w:r>
      <w:r>
        <w:rPr>
          <w:shd w:fill="FFFFFF" w:val="clear"/>
        </w:rPr>
        <w:t>11.328</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de </w:t>
      </w:r>
      <w:r>
        <w:rPr>
          <w:shd w:fill="FFFFFF" w:val="clear"/>
        </w:rPr>
        <w:t>1º</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de </w:t>
      </w:r>
      <w:r>
        <w:rPr>
          <w:shd w:fill="FFFFFF" w:val="clear"/>
        </w:rPr>
        <w:t>janeir</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 de 20</w:t>
      </w:r>
      <w:r>
        <w:rPr>
          <w:shd w:fill="FFFFFF" w:val="clear"/>
        </w:rPr>
        <w:t>23</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e da Portaria AGU 1.281, de 27 de setembro de 2007.</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xml:space="preserve">CLÁUSULA </w:t>
      </w:r>
      <w:r>
        <w:rPr>
          <w:b/>
        </w:rPr>
        <w:t>VIGÉSIMA</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 Não logrando êxito à conciliação, o foro da Justiça Federal, Subseção Judiciária de Foz do Iguaçu, será competente para dirimir as questões decorrentes deste Acordo de Cooperação Técnica, caso não possam ser resolvidas pela mediação administrativa, por força do art. 109, inciso I e §2º, ambos da Constituição Federal.</w:t>
      </w:r>
    </w:p>
    <w:p>
      <w:pPr>
        <w:pStyle w:val="LO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 por estarem de pleno acordo, assinam o presente instrumento em 02 (duas) vias de igual teor e forma, perante as testemunhas abaixo, que também o subscrevem, para que produza seus efeitos jurídicos e legais.</w:t>
      </w:r>
    </w:p>
    <w:p>
      <w:pPr>
        <w:pStyle w:val="LOnormal"/>
        <w:jc w:val="both"/>
        <w:rPr>
          <w:color w:val="000000"/>
        </w:rPr>
      </w:pPr>
      <w:r>
        <w:rPr>
          <w:color w:val="000000"/>
        </w:rPr>
      </w:r>
    </w:p>
    <w:p>
      <w:pPr>
        <w:pStyle w:val="LOnormal"/>
        <w:keepNext w:val="false"/>
        <w:keepLines w:val="false"/>
        <w:pageBreakBefore w:val="false"/>
        <w:widowControl/>
        <w:shd w:val="clear" w:fill="auto"/>
        <w:tabs>
          <w:tab w:val="clear" w:pos="720"/>
          <w:tab w:val="left" w:pos="5400"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Foz do Iguaçu, </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de </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de 20</w:t>
      </w:r>
      <w:r>
        <w:rPr>
          <w:rFonts w:eastAsia="Times New Roman" w:cs="Times New Roman"/>
          <w:b w:val="false"/>
          <w:i w:val="false"/>
          <w:caps w:val="false"/>
          <w:smallCaps w:val="false"/>
          <w:strike w:val="false"/>
          <w:dstrike w:val="false"/>
          <w:color w:val="000000"/>
          <w:position w:val="0"/>
          <w:sz w:val="24"/>
          <w:sz w:val="24"/>
          <w:szCs w:val="24"/>
          <w:highlight w:val="yellow"/>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LOnormal"/>
        <w:jc w:val="both"/>
        <w:rPr/>
      </w:pPr>
      <w:r>
        <w:rPr/>
      </w:r>
    </w:p>
    <w:p>
      <w:pPr>
        <w:pStyle w:val="LOnormal"/>
        <w:jc w:val="both"/>
        <w:rPr>
          <w:color w:val="000000"/>
        </w:rPr>
      </w:pPr>
      <w:r>
        <w:rPr>
          <w:color w:val="000000"/>
        </w:rPr>
      </w:r>
    </w:p>
    <w:tbl>
      <w:tblPr>
        <w:tblStyle w:val="Table1"/>
        <w:tblW w:w="9405" w:type="dxa"/>
        <w:jc w:val="left"/>
        <w:tblInd w:w="-97" w:type="dxa"/>
        <w:tblLayout w:type="fixed"/>
        <w:tblCellMar>
          <w:top w:w="0" w:type="dxa"/>
          <w:left w:w="108" w:type="dxa"/>
          <w:bottom w:w="0" w:type="dxa"/>
          <w:right w:w="108" w:type="dxa"/>
        </w:tblCellMar>
        <w:tblLook w:val="0000"/>
      </w:tblPr>
      <w:tblGrid>
        <w:gridCol w:w="4500"/>
        <w:gridCol w:w="4904"/>
      </w:tblGrid>
      <w:tr>
        <w:trPr/>
        <w:tc>
          <w:tcPr>
            <w:tcW w:w="4500" w:type="dxa"/>
            <w:tcBorders/>
            <w:shd w:fill="auto" w:val="clear"/>
          </w:tcPr>
          <w:p>
            <w:pPr>
              <w:pStyle w:val="LOnormal"/>
              <w:keepNext w:val="false"/>
              <w:keepLines w:val="false"/>
              <w:widowControl w:val="false"/>
              <w:shd w:val="clear" w:fill="auto"/>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UNIVERSIDADE FEDERAL DA INTEGRAÇÃO LATINO-AMERICANA</w:t>
            </w:r>
          </w:p>
        </w:tc>
        <w:tc>
          <w:tcPr>
            <w:tcW w:w="4904" w:type="dxa"/>
            <w:tcBorders/>
            <w:shd w:fill="auto" w:val="clear"/>
          </w:tcPr>
          <w:p>
            <w:pPr>
              <w:pStyle w:val="LOnormal"/>
              <w:keepNext w:val="false"/>
              <w:keepLines w:val="false"/>
              <w:widowControl w:val="false"/>
              <w:shd w:val="clear" w:fill="auto"/>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highlight w:val="yellow"/>
                <w:u w:val="none"/>
                <w:vertAlign w:val="baseline"/>
              </w:rPr>
            </w:pPr>
            <w:r>
              <w:rPr>
                <w:rFonts w:eastAsia="Times New Roman" w:cs="Times New Roman"/>
                <w:b/>
                <w:i w:val="false"/>
                <w:caps w:val="false"/>
                <w:smallCaps w:val="false"/>
                <w:strike w:val="false"/>
                <w:dstrike w:val="false"/>
                <w:color w:val="000000"/>
                <w:position w:val="0"/>
                <w:sz w:val="24"/>
                <w:sz w:val="24"/>
                <w:szCs w:val="24"/>
                <w:highlight w:val="yellow"/>
                <w:u w:val="none"/>
                <w:vertAlign w:val="baseline"/>
              </w:rPr>
              <w:t>XXXXXXXXXXXXXXXXX</w:t>
            </w:r>
          </w:p>
        </w:tc>
      </w:tr>
      <w:tr>
        <w:trPr>
          <w:trHeight w:val="1440" w:hRule="atLeast"/>
        </w:trPr>
        <w:tc>
          <w:tcPr>
            <w:tcW w:w="4500" w:type="dxa"/>
            <w:tcBorders/>
            <w:shd w:fill="auto" w:val="clea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___________________________________</w:t>
            </w:r>
          </w:p>
          <w:p>
            <w:pPr>
              <w:pStyle w:val="LOnormal"/>
              <w:keepNext w:val="true"/>
              <w:keepLines w:val="false"/>
              <w:widowControl w:val="false"/>
              <w:shd w:val="clear" w:fill="auto"/>
              <w:spacing w:lineRule="auto" w:line="276"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000000"/>
                <w:position w:val="0"/>
                <w:sz w:val="24"/>
                <w:sz w:val="24"/>
                <w:szCs w:val="24"/>
                <w:highlight w:val="white"/>
                <w:u w:val="none"/>
                <w:vertAlign w:val="baseline"/>
              </w:rPr>
              <w:t>Diana Araujo Pereira</w:t>
            </w:r>
          </w:p>
          <w:p>
            <w:pPr>
              <w:pStyle w:val="LOnormal"/>
              <w:keepNext w:val="tru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t>Reitora</w:t>
            </w:r>
          </w:p>
        </w:tc>
        <w:tc>
          <w:tcPr>
            <w:tcW w:w="4904" w:type="dxa"/>
            <w:tcBorders/>
            <w:shd w:fill="auto" w:val="clea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______________________________________</w:t>
            </w:r>
          </w:p>
          <w:p>
            <w:pPr>
              <w:pStyle w:val="LOnormal"/>
              <w:widowControl w:val="false"/>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jc w:val="center"/>
              <w:rPr>
                <w:b/>
                <w:b/>
                <w:highlight w:val="yellow"/>
              </w:rPr>
            </w:pPr>
            <w:r>
              <w:rPr>
                <w:b/>
                <w:highlight w:val="yellow"/>
              </w:rPr>
              <w:t>Nome:</w:t>
            </w:r>
          </w:p>
          <w:p>
            <w:pPr>
              <w:pStyle w:val="LOnormal"/>
              <w:widowControl w:val="false"/>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jc w:val="center"/>
              <w:rPr>
                <w:highlight w:val="yellow"/>
              </w:rPr>
            </w:pPr>
            <w:r>
              <w:rPr>
                <w:highlight w:val="yellow"/>
              </w:rPr>
              <w:t>Cargo: XXXXXX</w:t>
            </w:r>
          </w:p>
          <w:p>
            <w:pPr>
              <w:pStyle w:val="LOnormal"/>
              <w:widowControl w:val="false"/>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jc w:val="center"/>
              <w:rPr>
                <w:highlight w:val="yellow"/>
              </w:rPr>
            </w:pPr>
            <w:r>
              <w:rPr>
                <w:highlight w:val="yellow"/>
              </w:rPr>
              <w:t>SIAPE ou Matrícula: XXXXX</w:t>
            </w:r>
          </w:p>
          <w:p>
            <w:pPr>
              <w:pStyle w:val="LOnormal"/>
              <w:keepNext w:val="false"/>
              <w:keepLines w:val="false"/>
              <w:widowControl w:val="false"/>
              <w:shd w:val="clear" w:fill="auto"/>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c>
      </w:tr>
    </w:tbl>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2"/>
        <w:tblW w:w="9405" w:type="dxa"/>
        <w:jc w:val="left"/>
        <w:tblInd w:w="-97" w:type="dxa"/>
        <w:tblLayout w:type="fixed"/>
        <w:tblCellMar>
          <w:top w:w="0" w:type="dxa"/>
          <w:left w:w="108" w:type="dxa"/>
          <w:bottom w:w="0" w:type="dxa"/>
          <w:right w:w="108" w:type="dxa"/>
        </w:tblCellMar>
        <w:tblLook w:val="0000"/>
      </w:tblPr>
      <w:tblGrid>
        <w:gridCol w:w="4500"/>
        <w:gridCol w:w="4904"/>
      </w:tblGrid>
      <w:tr>
        <w:trPr>
          <w:trHeight w:val="1716" w:hRule="atLeast"/>
        </w:trPr>
        <w:tc>
          <w:tcPr>
            <w:tcW w:w="4500" w:type="dxa"/>
            <w:tcBorders/>
            <w:shd w:fill="auto" w:val="clea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tru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tru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tc>
        <w:tc>
          <w:tcPr>
            <w:tcW w:w="4904" w:type="dxa"/>
            <w:tcBorders/>
            <w:shd w:fill="auto" w:val="clea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tru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c>
      </w:tr>
    </w:tbl>
    <w:p>
      <w:pPr>
        <w:pStyle w:val="LOnormal"/>
        <w:jc w:val="both"/>
        <w:rPr>
          <w:color w:val="000000"/>
        </w:rPr>
      </w:pPr>
      <w:r>
        <w:rPr>
          <w:color w:val="000000"/>
        </w:rPr>
      </w:r>
    </w:p>
    <w:tbl>
      <w:tblPr>
        <w:tblStyle w:val="Table3"/>
        <w:tblW w:w="9405" w:type="dxa"/>
        <w:jc w:val="left"/>
        <w:tblInd w:w="-97" w:type="dxa"/>
        <w:tblLayout w:type="fixed"/>
        <w:tblCellMar>
          <w:top w:w="0" w:type="dxa"/>
          <w:left w:w="108" w:type="dxa"/>
          <w:bottom w:w="0" w:type="dxa"/>
          <w:right w:w="108" w:type="dxa"/>
        </w:tblCellMar>
        <w:tblLook w:val="0000"/>
      </w:tblPr>
      <w:tblGrid>
        <w:gridCol w:w="4500"/>
        <w:gridCol w:w="4904"/>
      </w:tblGrid>
      <w:tr>
        <w:trPr>
          <w:trHeight w:val="1716" w:hRule="atLeast"/>
        </w:trPr>
        <w:tc>
          <w:tcPr>
            <w:tcW w:w="4500" w:type="dxa"/>
            <w:tcBorders/>
            <w:shd w:fill="auto" w:val="clear"/>
          </w:tcPr>
          <w:p>
            <w:pPr>
              <w:pStyle w:val="LOnormal"/>
              <w:keepNext w:val="tru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4904" w:type="dxa"/>
            <w:tcBorders/>
            <w:shd w:fill="auto" w:val="clear"/>
          </w:tcPr>
          <w:p>
            <w:pPr>
              <w:pStyle w:val="LOnormal"/>
              <w:keepNext w:val="true"/>
              <w:keepLines w:val="false"/>
              <w:widowControl w:val="false"/>
              <w:shd w:val="clear" w:fill="auto"/>
              <w:tabs>
                <w:tab w:val="clear" w:pos="720"/>
                <w:tab w:val="left" w:pos="851" w:leader="none"/>
                <w:tab w:val="left" w:pos="2380" w:leader="none"/>
                <w:tab w:val="left" w:pos="3004" w:leader="none"/>
                <w:tab w:val="left" w:pos="3627" w:leader="none"/>
                <w:tab w:val="left" w:pos="4251" w:leader="none"/>
                <w:tab w:val="left" w:pos="4818" w:leader="none"/>
                <w:tab w:val="left" w:pos="5385" w:leader="none"/>
              </w:tabs>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LOnormal"/>
        <w:jc w:val="both"/>
        <w:rPr>
          <w:color w:val="000000"/>
        </w:rPr>
      </w:pPr>
      <w:r>
        <w:rPr>
          <w:color w:val="000000"/>
        </w:rPr>
      </w:r>
    </w:p>
    <w:p>
      <w:pPr>
        <w:pStyle w:val="LOnormal"/>
        <w:jc w:val="both"/>
        <w:rPr>
          <w:color w:val="000000"/>
        </w:rPr>
      </w:pPr>
      <w:r>
        <w:rPr>
          <w:color w:val="000000"/>
        </w:rPr>
      </w:r>
    </w:p>
    <w:p>
      <w:pPr>
        <w:pStyle w:val="LOnormal"/>
        <w:jc w:val="both"/>
        <w:rPr>
          <w:color w:val="000000"/>
        </w:rPr>
      </w:pPr>
      <w:r>
        <w:rPr>
          <w:color w:val="000000"/>
        </w:rPr>
        <w:t>TESTEMUNHAS DO ATO:</w:t>
      </w:r>
    </w:p>
    <w:p>
      <w:pPr>
        <w:pStyle w:val="LOnormal"/>
        <w:jc w:val="both"/>
        <w:rPr/>
      </w:pPr>
      <w:r>
        <w:rPr>
          <w:color w:val="000000"/>
        </w:rPr>
        <w:t>___________________________________</w:t>
      </w:r>
      <w:r>
        <w:rPr>
          <w:b/>
          <w:color w:val="000000"/>
        </w:rPr>
        <w:t xml:space="preserve">      </w:t>
      </w:r>
      <w:r>
        <w:rPr>
          <w:color w:val="000000"/>
        </w:rPr>
        <w:t>___________________________________</w:t>
      </w:r>
    </w:p>
    <w:p>
      <w:pPr>
        <w:pStyle w:val="LOnormal"/>
        <w:jc w:val="both"/>
        <w:rPr>
          <w:b/>
          <w:b/>
          <w:color w:val="000000"/>
        </w:rPr>
      </w:pPr>
      <w:r>
        <w:rPr>
          <w:b/>
          <w:color w:val="000000"/>
        </w:rPr>
        <w:t>Nome:</w:t>
        <w:tab/>
        <w:tab/>
        <w:tab/>
        <w:tab/>
        <w:tab/>
        <w:tab/>
        <w:tab/>
        <w:t>Nome</w:t>
      </w:r>
    </w:p>
    <w:p>
      <w:pPr>
        <w:pStyle w:val="LOnormal"/>
        <w:spacing w:lineRule="auto" w:line="360"/>
        <w:jc w:val="both"/>
        <w:rPr>
          <w:b/>
          <w:b/>
          <w:color w:val="000000"/>
        </w:rPr>
      </w:pPr>
      <w:r>
        <w:rPr>
          <w:b/>
          <w:color w:val="000000"/>
        </w:rPr>
        <w:t>CPF:</w:t>
        <w:tab/>
        <w:tab/>
        <w:tab/>
        <w:tab/>
        <w:tab/>
        <w:tab/>
        <w:tab/>
        <w:t>CPF:</w:t>
      </w:r>
    </w:p>
    <w:p>
      <w:pPr>
        <w:pStyle w:val="LOnormal"/>
        <w:jc w:val="center"/>
        <w:rPr>
          <w:b/>
          <w:b/>
          <w:color w:val="000000"/>
        </w:rPr>
      </w:pPr>
      <w:r>
        <w:rPr>
          <w:b/>
          <w:color w:val="000000"/>
        </w:rPr>
      </w:r>
    </w:p>
    <w:p>
      <w:pPr>
        <w:pStyle w:val="LOnormal"/>
        <w:jc w:val="center"/>
        <w:rPr>
          <w:color w:val="000000"/>
        </w:rPr>
      </w:pPr>
      <w:r>
        <w:rPr>
          <w:color w:val="000000"/>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pPr>
      <w:r>
        <w:rPr/>
      </w:r>
    </w:p>
    <w:p>
      <w:pPr>
        <w:pStyle w:val="LOnormal"/>
        <w:jc w:val="center"/>
        <w:rPr>
          <w:b/>
          <w:b/>
        </w:rPr>
      </w:pPr>
      <w:r>
        <w:rPr/>
      </w:r>
    </w:p>
    <w:sectPr>
      <w:headerReference w:type="default" r:id="rId2"/>
      <w:footerReference w:type="default" r:id="rId3"/>
      <w:type w:val="nextPage"/>
      <w:pgSz w:w="11906" w:h="16838"/>
      <w:pgMar w:left="1701" w:right="1134" w:gutter="0" w:header="850" w:top="2050" w:footer="447" w:bottom="133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Página </w:t>
    </w:r>
    <w:r>
      <w:rPr/>
      <w:fldChar w:fldCharType="begin"/>
    </w:r>
    <w:r>
      <w:rPr/>
      <w:instrText> PAGE </w:instrText>
    </w:r>
    <w:r>
      <w:rPr/>
      <w:fldChar w:fldCharType="separate"/>
    </w:r>
    <w:r>
      <w:rPr/>
      <w:t>5</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de </w:t>
    </w:r>
    <w:r>
      <w:rPr/>
      <w:fldChar w:fldCharType="begin"/>
    </w:r>
    <w:r>
      <w:rPr/>
      <w:instrText> NUMPAGES </w:instrText>
    </w:r>
    <w:r>
      <w:rPr/>
      <w:fldChar w:fldCharType="separate"/>
    </w:r>
    <w:r>
      <w:rPr/>
      <w:t>5</w:t>
    </w:r>
    <w:r>
      <w:rPr/>
      <w:fldChar w:fldCharType="end"/>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_________________________________________________________________________________________</w:t>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w:t xml:space="preserve">UNILA: Av. Tancredo Neves, </w:t>
    </w:r>
    <w:r>
      <w:rPr>
        <w:sz w:val="14"/>
        <w:szCs w:val="14"/>
      </w:rPr>
      <w:t>6731</w:t>
    </w:r>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w:t xml:space="preserve"> – </w:t>
    </w:r>
    <w:r>
      <w:rPr>
        <w:sz w:val="14"/>
        <w:szCs w:val="14"/>
      </w:rPr>
      <w:t>Jardim Itaipu, CEP: 85.867-900</w:t>
    </w:r>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w:t xml:space="preserve"> - Foz do Iguaçu - PR – website:  </w:t>
    </w:r>
    <w:hyperlink r:id="rId1">
      <w:r>
        <w:rPr>
          <w:rFonts w:eastAsia="Times New Roman" w:cs="Times New Roman"/>
          <w:b w:val="false"/>
          <w:i w:val="false"/>
          <w:caps w:val="false"/>
          <w:smallCaps w:val="false"/>
          <w:strike w:val="false"/>
          <w:dstrike w:val="false"/>
          <w:color w:val="000000"/>
          <w:position w:val="0"/>
          <w:sz w:val="14"/>
          <w:sz w:val="14"/>
          <w:szCs w:val="14"/>
          <w:u w:val="none"/>
          <w:shd w:fill="auto" w:val="clear"/>
          <w:vertAlign w:val="baseline"/>
        </w:rPr>
        <w:t>www.unila.edu.br</w:t>
      </w:r>
    </w:hyperlink>
  </w:p>
  <w:p>
    <w:pPr>
      <w:pStyle w:val="LOnormal"/>
      <w:keepNext w:val="false"/>
      <w:keepLines w:val="false"/>
      <w:pageBreakBefore w:val="false"/>
      <w:widowControl w:val="false"/>
      <w:shd w:val="clear" w:fill="auto"/>
      <w:spacing w:lineRule="auto" w:line="240"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EF413D"/>
        <w:position w:val="0"/>
        <w:sz w:val="14"/>
        <w:sz w:val="14"/>
        <w:szCs w:val="14"/>
        <w:u w:val="none"/>
        <w:shd w:fill="auto" w:val="clear"/>
        <w:vertAlign w:val="baseline"/>
      </w:rPr>
    </w:pPr>
    <w:r>
      <w:rPr>
        <w:rFonts w:eastAsia="Times New Roman" w:cs="Times New Roman"/>
        <w:b w:val="false"/>
        <w:i w:val="false"/>
        <w:caps w:val="false"/>
        <w:smallCaps w:val="false"/>
        <w:strike w:val="false"/>
        <w:dstrike w:val="false"/>
        <w:color w:val="EF413D"/>
        <w:position w:val="0"/>
        <w:sz w:val="14"/>
        <w:sz w:val="14"/>
        <w:szCs w:val="14"/>
        <w:u w:val="none"/>
        <w:shd w:fill="auto" w:val="clear"/>
        <w:vertAlign w:val="baseline"/>
      </w:rPr>
      <w:t>Dados do Parceiro</w:t>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4"/>
        <w:sz w:val="14"/>
        <w:szCs w:val="14"/>
        <w:highlight w:val="yellow"/>
        <w:u w:val="none"/>
        <w:vertAlign w:val="baseline"/>
      </w:rPr>
    </w:pPr>
    <w:r>
      <w:rPr>
        <w:rFonts w:eastAsia="Times New Roman" w:cs="Times New Roman"/>
        <w:b w:val="false"/>
        <w:i w:val="false"/>
        <w:caps w:val="false"/>
        <w:smallCaps w:val="false"/>
        <w:strike w:val="false"/>
        <w:dstrike w:val="false"/>
        <w:color w:val="000000"/>
        <w:position w:val="0"/>
        <w:sz w:val="14"/>
        <w:sz w:val="14"/>
        <w:szCs w:val="14"/>
        <w:highlight w:val="yellow"/>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drawing>
        <wp:anchor behindDoc="0" distT="0" distB="0" distL="0" distR="0" simplePos="0" locked="0" layoutInCell="0" allowOverlap="1" relativeHeight="6">
          <wp:simplePos x="0" y="0"/>
          <wp:positionH relativeFrom="column">
            <wp:posOffset>146050</wp:posOffset>
          </wp:positionH>
          <wp:positionV relativeFrom="paragraph">
            <wp:posOffset>-252095</wp:posOffset>
          </wp:positionV>
          <wp:extent cx="1833245" cy="89662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833245" cy="896620"/>
                  </a:xfrm>
                  <a:prstGeom prst="rect">
                    <a:avLst/>
                  </a:prstGeom>
                </pic:spPr>
              </pic:pic>
            </a:graphicData>
          </a:graphic>
        </wp:anchor>
      </w:drawing>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ab/>
      <w:t xml:space="preserve">                                                                                                                              </w:t>
    </w:r>
    <w:r>
      <w:rPr>
        <w:rFonts w:eastAsia="Arial" w:cs="Arial" w:ascii="Arial" w:hAnsi="Arial"/>
        <w:b/>
        <w:i w:val="false"/>
        <w:caps w:val="false"/>
        <w:smallCaps w:val="false"/>
        <w:strike w:val="false"/>
        <w:dstrike w:val="false"/>
        <w:color w:val="EF413D"/>
        <w:position w:val="0"/>
        <w:sz w:val="18"/>
        <w:sz w:val="18"/>
        <w:szCs w:val="18"/>
        <w:u w:val="none"/>
        <w:shd w:fill="auto" w:val="clear"/>
        <w:vertAlign w:val="baseline"/>
      </w:rPr>
      <w:t xml:space="preserve">Logotipo do Parceiro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           </w:t>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shd w:val="clear" w:fill="auto"/>
      <w:tabs>
        <w:tab w:val="clear" w:pos="720"/>
        <w:tab w:val="center" w:pos="4535" w:leader="none"/>
        <w:tab w:val="right" w:pos="9071"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tabs>
        <w:tab w:val="clear" w:pos="720"/>
        <w:tab w:val="center" w:pos="4535" w:leader="none"/>
        <w:tab w:val="right" w:pos="9071" w:leader="none"/>
      </w:tabs>
      <w:spacing w:lineRule="auto" w:line="360"/>
      <w:rPr>
        <w:rFonts w:ascii="Arial" w:hAnsi="Arial" w:eastAsia="Arial" w:cs="Arial"/>
        <w:b/>
        <w:b/>
        <w:sz w:val="12"/>
        <w:szCs w:val="12"/>
      </w:rPr>
    </w:pPr>
    <w:r>
      <w:rPr>
        <w:rFonts w:eastAsia="Arial" w:cs="Arial" w:ascii="Arial" w:hAnsi="Arial"/>
        <w:b/>
        <w:sz w:val="12"/>
        <w:szCs w:val="12"/>
      </w:rPr>
      <w:tab/>
      <w:tab/>
    </w:r>
  </w:p>
  <w:p>
    <w:pPr>
      <w:pStyle w:val="LOnormal"/>
      <w:tabs>
        <w:tab w:val="clear" w:pos="720"/>
        <w:tab w:val="center" w:pos="4535" w:leader="none"/>
        <w:tab w:val="right" w:pos="9071" w:leader="none"/>
      </w:tabs>
      <w:rPr>
        <w:rFonts w:ascii="Arial" w:hAnsi="Arial" w:eastAsia="Arial" w:cs="Arial"/>
        <w:b/>
        <w:b/>
        <w:sz w:val="12"/>
        <w:szCs w:val="12"/>
      </w:rPr>
    </w:pPr>
    <w:r>
      <w:rPr>
        <w:rFonts w:eastAsia="Arial" w:cs="Arial" w:ascii="Arial" w:hAnsi="Arial"/>
        <w:b/>
        <w:sz w:val="12"/>
        <w:szCs w:val="12"/>
      </w:rPr>
      <w:tab/>
      <w:t xml:space="preserve">Ministério da Educação                                                                                                                                                              </w:t>
    </w:r>
  </w:p>
  <w:p>
    <w:pPr>
      <w:pStyle w:val="LOnormal"/>
      <w:tabs>
        <w:tab w:val="clear" w:pos="720"/>
        <w:tab w:val="center" w:pos="4535" w:leader="none"/>
        <w:tab w:val="right" w:pos="9071" w:leader="none"/>
      </w:tabs>
      <w:rPr>
        <w:rFonts w:ascii="Arial" w:hAnsi="Arial" w:eastAsia="Arial" w:cs="Arial"/>
        <w:b/>
        <w:b/>
        <w:sz w:val="12"/>
        <w:szCs w:val="12"/>
      </w:rPr>
    </w:pPr>
    <w:r>
      <w:rPr>
        <w:rFonts w:eastAsia="Arial" w:cs="Arial" w:ascii="Arial" w:hAnsi="Arial"/>
        <w:b/>
        <w:sz w:val="12"/>
        <w:szCs w:val="12"/>
      </w:rPr>
      <w:tab/>
      <w:tab/>
    </w:r>
  </w:p>
  <w:p>
    <w:pPr>
      <w:pStyle w:val="LOnormal"/>
      <w:spacing w:lineRule="auto" w:line="360"/>
      <w:jc w:val="center"/>
      <w:rPr>
        <w:rFonts w:ascii="Arial" w:hAnsi="Arial" w:eastAsia="Arial" w:cs="Arial"/>
        <w:b/>
        <w:b/>
        <w:sz w:val="14"/>
        <w:szCs w:val="14"/>
      </w:rPr>
    </w:pPr>
    <w:r>
      <w:rPr>
        <w:rFonts w:eastAsia="Arial" w:cs="Arial" w:ascii="Arial" w:hAnsi="Arial"/>
        <w:b/>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9."/>
      <w:lvlJc w:val="center"/>
      <w:pPr>
        <w:tabs>
          <w:tab w:val="num" w:pos="0"/>
        </w:tabs>
        <w:ind w:left="720" w:hanging="36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pt-B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NSimSun" w:cs="Arial"/>
      <w:color w:val="auto"/>
      <w:kern w:val="0"/>
      <w:sz w:val="24"/>
      <w:szCs w:val="24"/>
      <w:lang w:val="pt-BR" w:eastAsia="zh-CN" w:bidi="hi-IN"/>
    </w:rPr>
  </w:style>
  <w:style w:type="paragraph" w:styleId="Ttulo1">
    <w:name w:val="Heading 1"/>
    <w:basedOn w:val="LOnormal"/>
    <w:next w:val="LOnormal"/>
    <w:qFormat/>
    <w:pPr>
      <w:keepNext w:val="true"/>
      <w:keepLines w:val="false"/>
      <w:pageBreakBefore w:val="false"/>
      <w:widowControl/>
      <w:shd w:val="clear" w:fill="auto"/>
      <w:spacing w:lineRule="auto" w:line="240" w:before="240" w:after="60"/>
      <w:ind w:left="0" w:right="0" w:hanging="0"/>
      <w:jc w:val="left"/>
    </w:pPr>
    <w:rPr>
      <w:rFonts w:ascii="Arial" w:hAnsi="Arial" w:eastAsia="Arial" w:cs="Arial"/>
      <w:b/>
      <w:i w:val="false"/>
      <w:caps w:val="false"/>
      <w:smallCaps w:val="false"/>
      <w:strike w:val="false"/>
      <w:dstrike w:val="false"/>
      <w:color w:val="000000"/>
      <w:position w:val="0"/>
      <w:sz w:val="24"/>
      <w:sz w:val="24"/>
      <w:szCs w:val="24"/>
      <w:u w:val="none"/>
      <w:shd w:fill="auto" w:val="clear"/>
      <w:vertAlign w:val="baseline"/>
    </w:rPr>
  </w:style>
  <w:style w:type="paragraph" w:styleId="Ttulo2">
    <w:name w:val="Heading 2"/>
    <w:basedOn w:val="LOnormal"/>
    <w:next w:val="LOnormal"/>
    <w:qFormat/>
    <w:pPr>
      <w:keepNext w:val="true"/>
      <w:keepLines w:val="false"/>
      <w:pageBreakBefore w:val="false"/>
      <w:widowControl/>
      <w:shd w:val="clear" w:fill="auto"/>
      <w:spacing w:lineRule="auto" w:line="240" w:before="240" w:after="60"/>
      <w:ind w:left="0" w:right="0" w:hanging="0"/>
      <w:jc w:val="left"/>
    </w:pPr>
    <w:rPr>
      <w:rFonts w:ascii="Arial" w:hAnsi="Arial" w:eastAsia="Arial" w:cs="Arial"/>
      <w:b/>
      <w:i w:val="false"/>
      <w:caps w:val="false"/>
      <w:smallCaps w:val="false"/>
      <w:strike w:val="false"/>
      <w:dstrike w:val="false"/>
      <w:color w:val="000000"/>
      <w:position w:val="0"/>
      <w:sz w:val="24"/>
      <w:sz w:val="24"/>
      <w:szCs w:val="24"/>
      <w:u w:val="none"/>
      <w:shd w:fill="auto" w:val="clear"/>
      <w:vertAlign w:val="baseline"/>
    </w:rPr>
  </w:style>
  <w:style w:type="paragraph" w:styleId="Ttulo3">
    <w:name w:val="Heading 3"/>
    <w:basedOn w:val="LOnormal"/>
    <w:next w:val="LOnormal"/>
    <w:qFormat/>
    <w:pPr>
      <w:keepNext w:val="true"/>
      <w:keepLines w:val="false"/>
      <w:pageBreakBefore w:val="false"/>
      <w:widowControl/>
      <w:shd w:val="clear" w:fill="auto"/>
      <w:spacing w:lineRule="auto" w:line="240" w:before="240" w:after="60"/>
      <w:ind w:left="0" w:right="0" w:hanging="0"/>
      <w:jc w:val="left"/>
    </w:pPr>
    <w:rPr>
      <w:rFonts w:ascii="Arial" w:hAnsi="Arial" w:eastAsia="Arial" w:cs="Arial"/>
      <w:b/>
      <w:i w:val="false"/>
      <w:caps w:val="false"/>
      <w:smallCaps w:val="false"/>
      <w:strike w:val="false"/>
      <w:dstrike w:val="false"/>
      <w:color w:val="000000"/>
      <w:position w:val="0"/>
      <w:sz w:val="24"/>
      <w:sz w:val="24"/>
      <w:szCs w:val="24"/>
      <w:u w:val="none"/>
      <w:shd w:fill="auto" w:val="clear"/>
      <w:vertAlign w:val="baseline"/>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Arial"/>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unila.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TotalTime>
  <Application>LibreOffice/7.2.5.2$Windows_X86_64 LibreOffice_project/499f9727c189e6ef3471021d6132d4c694f357e5</Application>
  <AppVersion>15.0000</AppVersion>
  <Pages>5</Pages>
  <Words>1222</Words>
  <Characters>7439</Characters>
  <CharactersWithSpaces>8989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2024-04-11T12:25:02Z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