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7" w:after="0"/>
        <w:ind w:hanging="0" w:start="0" w:end="0"/>
        <w:jc w:val="star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96" w:after="0"/>
        <w:ind w:hanging="0" w:start="295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102870</wp:posOffset>
            </wp:positionH>
            <wp:positionV relativeFrom="paragraph">
              <wp:posOffset>-111125</wp:posOffset>
            </wp:positionV>
            <wp:extent cx="1569720" cy="929640"/>
            <wp:effectExtent l="0" t="0" r="0" b="0"/>
            <wp:wrapNone/>
            <wp:docPr id="1" name="image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Ministério da Educação</w:t>
      </w:r>
    </w:p>
    <w:p>
      <w:pPr>
        <w:pStyle w:val="Normal"/>
        <w:spacing w:lineRule="auto" w:line="240" w:before="73" w:after="0"/>
        <w:ind w:hanging="0" w:start="2950" w:end="0"/>
        <w:jc w:val="start"/>
        <w:rPr>
          <w:rFonts w:ascii="Arial" w:hAnsi="Arial" w:eastAsia="Arial" w:cs="Arial"/>
          <w:b/>
          <w:sz w:val="16"/>
          <w:szCs w:val="16"/>
        </w:rPr>
      </w:pPr>
      <w:r>
        <w:rPr>
          <w:rFonts w:eastAsia="Arial" w:cs="Arial"/>
          <w:b/>
          <w:sz w:val="16"/>
          <w:szCs w:val="16"/>
        </w:rPr>
        <w:t>UNIVERSIDADE FEDERAL DA INTEGRAÇÃO LATINO-AMERICANA - UNILA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78" w:after="0"/>
        <w:ind w:hanging="0" w:start="295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Pró-Reitoria de Gestão de Pessoas – PROGEPE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3" w:after="0"/>
        <w:ind w:hanging="0" w:start="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93" w:after="0"/>
        <w:ind w:hanging="0" w:start="1416" w:end="1453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eastAsia="Arial" w:cs="Arial"/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93" w:after="0"/>
        <w:ind w:hanging="0" w:start="1416" w:end="1453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>REQUERIMENTO DE</w:t>
      </w:r>
      <w:r>
        <w:rPr>
          <w:b/>
          <w:sz w:val="20"/>
          <w:szCs w:val="20"/>
        </w:rPr>
        <w:t xml:space="preserve"> APOSENTADORIA VOLUNTÁRIA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93" w:after="0"/>
        <w:ind w:hanging="0" w:start="1416" w:end="1453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6" w:after="0"/>
        <w:ind w:hanging="0" w:start="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W w:w="9435" w:type="dxa"/>
        <w:jc w:val="start"/>
        <w:tblInd w:w="1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29"/>
        <w:gridCol w:w="106"/>
        <w:gridCol w:w="1709"/>
        <w:gridCol w:w="1740"/>
        <w:gridCol w:w="3151"/>
      </w:tblGrid>
      <w:tr>
        <w:trPr>
          <w:trHeight w:val="400" w:hRule="atLeast"/>
        </w:trPr>
        <w:tc>
          <w:tcPr>
            <w:tcW w:w="9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26"/>
              <w:ind w:hanging="0" w:start="21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  <w:p>
            <w:pPr>
              <w:pStyle w:val="Normal"/>
              <w:spacing w:lineRule="auto" w:line="226"/>
              <w:ind w:hanging="0" w:start="21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9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26"/>
              <w:ind w:hanging="0" w:start="21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Social (Decreto nº 8.727/2016):</w:t>
            </w:r>
          </w:p>
        </w:tc>
      </w:tr>
      <w:tr>
        <w:trPr>
          <w:trHeight w:val="400" w:hRule="atLeast"/>
        </w:trPr>
        <w:tc>
          <w:tcPr>
            <w:tcW w:w="2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/>
            </w:pPr>
            <w:r>
              <w:rPr>
                <w:b/>
                <w:sz w:val="20"/>
                <w:szCs w:val="20"/>
              </w:rPr>
              <w:t>Matrícula</w:t>
            </w: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 xml:space="preserve"> SIAPE: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Cor/Raça:</w:t>
            </w:r>
          </w:p>
        </w:tc>
      </w:tr>
      <w:tr>
        <w:trPr>
          <w:trHeight w:val="400" w:hRule="atLeast"/>
        </w:trPr>
        <w:tc>
          <w:tcPr>
            <w:tcW w:w="2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Nascimento: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Sexo: 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feminino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masculino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Estado Civil:</w:t>
            </w:r>
          </w:p>
        </w:tc>
      </w:tr>
      <w:tr>
        <w:trPr>
          <w:trHeight w:val="400" w:hRule="atLeast"/>
        </w:trPr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Cargo: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0" w:end="0"/>
              <w:jc w:val="start"/>
              <w:rPr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Classe:</w:t>
            </w:r>
          </w:p>
        </w:tc>
        <w:tc>
          <w:tcPr>
            <w:tcW w:w="1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28"/>
              <w:ind w:hanging="0" w:start="21" w:end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Padrão:</w:t>
            </w:r>
          </w:p>
        </w:tc>
        <w:tc>
          <w:tcPr>
            <w:tcW w:w="3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Lotação:</w:t>
            </w:r>
          </w:p>
        </w:tc>
      </w:tr>
      <w:tr>
        <w:trPr>
          <w:trHeight w:val="400" w:hRule="atLeast"/>
        </w:trPr>
        <w:tc>
          <w:tcPr>
            <w:tcW w:w="9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 Residencial:</w:t>
            </w:r>
          </w:p>
        </w:tc>
      </w:tr>
      <w:tr>
        <w:trPr>
          <w:trHeight w:val="400" w:hRule="atLeast"/>
        </w:trPr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31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residencial e celular: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943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28" w:before="0" w:after="0"/>
              <w:ind w:hanging="0" w:start="21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0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0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0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>SOLICITAÇÃO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0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0" w:end="0"/>
        <w:jc w:val="start"/>
        <w:rPr/>
      </w:pPr>
      <w:r>
        <w:rPr>
          <w:sz w:val="20"/>
          <w:szCs w:val="20"/>
        </w:rPr>
        <w:t xml:space="preserve">Solicito minha </w:t>
      </w:r>
      <w:r>
        <w:rPr>
          <w:b/>
          <w:sz w:val="20"/>
          <w:szCs w:val="20"/>
        </w:rPr>
        <w:t xml:space="preserve">aposentadoria voluntária </w:t>
      </w:r>
      <w:r>
        <w:rPr>
          <w:sz w:val="20"/>
          <w:szCs w:val="20"/>
        </w:rPr>
        <w:t>nos termos da legislação assinalada a seguir: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/>
      </w:pPr>
      <w:r>
        <w:rPr>
          <w:b/>
          <w:sz w:val="20"/>
          <w:szCs w:val="20"/>
        </w:rPr>
        <w:t>1 – REGRAS DO DIREITO ADQUIRIDO:</w:t>
      </w:r>
      <w:r>
        <w:rPr>
          <w:sz w:val="20"/>
          <w:szCs w:val="20"/>
        </w:rPr>
        <w:t xml:space="preserve"> fundamentos associados ao direito adquirido assegurado pelo art. 3º da Emenda Constitucional nº 103, de 12 de novembro de 2019, combinado com os requisitos das regras abaixo, enquanto encontravam-se em vigor: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Rule="auto" w:line="240" w:before="0" w:after="0"/>
        <w:ind w:hanging="0" w:start="36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40 da Constituição Federal, redação original.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40 da Constituição Federal, com redação dada pela Emenda Constitucional nº 20 de 1998.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8º da Emenda Constitucional nº 20, de 1998.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4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 xml:space="preserve">Art. 40, § 1º, inciso III, alínea “a” da Constituição Federal, com redação dada pela EC nº 41, de 2003. Aposentadoria com cálculo de provento integral pela média das remunerações – índice de reajustes do RGPS. 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6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idade mínima (60 anos/homem, 55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6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de contribuição (35 anos/homem, 30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6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serviço público (10 anos);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6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cargo em que se dará a aposentadoria (5 anos).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4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9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40, §1º, inciso III, alínea “b” da Constituição Federal, com redação dada pela EC nº 41, de 2003 - Aposentadoria por idade com cálculo de provento proporcional ao tempo de contribuição, pela média das remunerações – índice de reajustes RGPS.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8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idade mínima (65 anos/homem, 60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8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de contribuição (35 anos/homem, 30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8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serviço público (10 anos);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8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cargo em que se dará a aposentadoria (5 anos).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4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3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2º da EC nº 41, de 2003 - Aposentadoria com cálculo de provento proporcional a idade exigida, pela média das remunerações – índice de reajustes RGPS.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40" w:end="0"/>
        <w:jc w:val="start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idade mínima (53 anos/homem, 48 anos/mulher)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cargo em que se dará a aposentadoria (5 anos).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de contribuição (35 anos/homem, 30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pedágio (adicional de 20% sobre o tempo de contribuição que em 16/12/1998, faltaria para atingir o tempo mínimo exigido);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ingresso no serviço público até 16/12/1998.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0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6º da EC nº 41, de 2003 - Aposentadoria com cálculo de provento integral com paridade.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720" w:end="0"/>
        <w:jc w:val="start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idade mínima (60 anos/homem, 55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de contribuição (35 anos/homem, 30 anos/mulher);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serviço público (20 anos);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na carreira (10 anos);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tempo no cargo em que se der a aposentadoria (5 anos);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5"/>
        </w:numPr>
        <w:pBdr/>
        <w:spacing w:lineRule="auto" w:line="240" w:before="0" w:after="0"/>
        <w:ind w:hanging="360" w:start="1440" w:end="0"/>
        <w:jc w:val="start"/>
        <w:rPr>
          <w:sz w:val="20"/>
          <w:szCs w:val="20"/>
        </w:rPr>
      </w:pPr>
      <w:r>
        <w:rPr>
          <w:sz w:val="20"/>
          <w:szCs w:val="20"/>
        </w:rPr>
        <w:t>ingresso no serviço público até 31/12/2003.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  <w:t>II – NOVAS REGRAS: fundamentos novos estabelecidos pela Emenda Constitucional nº 103, de 12 de novembro de 2019: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9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4º da Emenda Constitucional nº 103, de 2019 (Regra de Transição)</w:t>
      </w:r>
    </w:p>
    <w:p>
      <w:pPr>
        <w:pStyle w:val="Normal"/>
        <w:ind w:hanging="0" w:start="720" w:end="0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numPr>
          <w:ilvl w:val="0"/>
          <w:numId w:val="17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idade mínima (62 anos/ homem, 57 anos mulher);</w:t>
      </w:r>
    </w:p>
    <w:p>
      <w:pPr>
        <w:pStyle w:val="Normal"/>
        <w:numPr>
          <w:ilvl w:val="0"/>
          <w:numId w:val="17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data de ingresso no serviço público em cargo efetivo: até 12.11.2019;</w:t>
      </w:r>
    </w:p>
    <w:p>
      <w:pPr>
        <w:pStyle w:val="Normal"/>
        <w:numPr>
          <w:ilvl w:val="0"/>
          <w:numId w:val="17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contribuição (35 anos/homem, 30 anos/ mulher);</w:t>
      </w:r>
    </w:p>
    <w:p>
      <w:pPr>
        <w:pStyle w:val="Normal"/>
        <w:numPr>
          <w:ilvl w:val="0"/>
          <w:numId w:val="17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efetivo exercício no serviço público (20 anos);</w:t>
      </w:r>
    </w:p>
    <w:p>
      <w:pPr>
        <w:pStyle w:val="Normal"/>
        <w:numPr>
          <w:ilvl w:val="0"/>
          <w:numId w:val="17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no cargo (5 anos);</w:t>
      </w:r>
    </w:p>
    <w:p>
      <w:pPr>
        <w:pStyle w:val="Normal"/>
        <w:numPr>
          <w:ilvl w:val="0"/>
          <w:numId w:val="17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 xml:space="preserve">somatório da idade e do tempo de contribuição 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2024 - 101 pontos/homem, 91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2025 - 102 pontos/homem, 92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2026 - 103 pontos/homem, 93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2027 - 104 pontos/homem, 94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2028 - 105 pontos/homem, 95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2029 - 96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2030 - 97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2031 - 98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>2032 - 99 pontos/ mulher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  <w:t xml:space="preserve">2033 - 100 pontos/ mulher 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firstLine="607" w:start="833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firstLine="607" w:start="833" w:end="0"/>
        <w:jc w:val="start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Cálculos dos proventos: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/>
      </w:pPr>
      <w:r>
        <w:rPr>
          <w:sz w:val="20"/>
          <w:szCs w:val="20"/>
          <w:u w:val="single"/>
        </w:rPr>
        <w:t>a) para homem com idade igual ou superior a 65 anos e mulher com idade igual ou superior a 62 anos:</w:t>
      </w:r>
      <w:r>
        <w:rPr>
          <w:sz w:val="20"/>
          <w:szCs w:val="20"/>
        </w:rPr>
        <w:t xml:space="preserve"> os proventos corresponderão à totalidade da remuneração, com exceção da parcela variável que será calculada com base nos valores recebidos, correspondente a 100% (cem por cento) do período contributivo a partir de julho de 1994;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/>
      </w:pPr>
      <w:r>
        <w:rPr>
          <w:sz w:val="20"/>
          <w:szCs w:val="20"/>
          <w:u w:val="single"/>
        </w:rPr>
        <w:t>b) para homem com idade inferior a 65 anos e mulher com idade inferior a 62 anos:</w:t>
      </w:r>
      <w:r>
        <w:rPr>
          <w:sz w:val="20"/>
          <w:szCs w:val="20"/>
        </w:rPr>
        <w:t xml:space="preserve"> o cálculo será pela média aritmética simples, correspondente a 100% (cem por cento) do período contributivo a partir de julho de 1994. O valor do benefício corresponderá a 60% da média, com acréscimo de dois pontos percentuais para cada ano de contribuição que exceder o tempo de 20 anos de contribuição e não poderá ser inferior ao salário-mínimo e nem superior ao limite máximo estabelecido para o RGPS;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/>
      </w:pPr>
      <w:r>
        <w:rPr>
          <w:i/>
          <w:sz w:val="20"/>
          <w:szCs w:val="20"/>
        </w:rPr>
        <w:t>Reajuste dos proventos:</w:t>
      </w:r>
      <w:r>
        <w:rPr>
          <w:sz w:val="20"/>
          <w:szCs w:val="20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  <w:t>índices de reajustes do RGPS.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2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 xml:space="preserve">Art. 10, § 1º, inciso I da Emenda Constitucional nº 103, de 2019 (Regra Geral) </w:t>
      </w:r>
    </w:p>
    <w:p>
      <w:pPr>
        <w:pStyle w:val="Normal"/>
        <w:ind w:hanging="0" w:start="720" w:end="0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numPr>
          <w:ilvl w:val="0"/>
          <w:numId w:val="23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idade mínima (65 anos/homem, 62 anos/mulher);</w:t>
      </w:r>
    </w:p>
    <w:p>
      <w:pPr>
        <w:pStyle w:val="Normal"/>
        <w:numPr>
          <w:ilvl w:val="0"/>
          <w:numId w:val="23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contribuição (25 anos);</w:t>
      </w:r>
    </w:p>
    <w:p>
      <w:pPr>
        <w:pStyle w:val="Normal"/>
        <w:numPr>
          <w:ilvl w:val="0"/>
          <w:numId w:val="23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efetivo exercício no serviço público (10 anos);</w:t>
      </w:r>
    </w:p>
    <w:p>
      <w:pPr>
        <w:pStyle w:val="Normal"/>
        <w:numPr>
          <w:ilvl w:val="0"/>
          <w:numId w:val="23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no cargo em que será a aposentadoria (5 anos).</w:t>
      </w:r>
    </w:p>
    <w:p>
      <w:pPr>
        <w:pStyle w:val="Normal"/>
        <w:ind w:hanging="0" w:start="144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1440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Cálculos dos proventos:</w:t>
      </w:r>
    </w:p>
    <w:p>
      <w:pPr>
        <w:pStyle w:val="Normal"/>
        <w:ind w:hanging="0" w:start="1440" w:end="0"/>
        <w:jc w:val="both"/>
        <w:rPr>
          <w:sz w:val="20"/>
          <w:szCs w:val="20"/>
        </w:rPr>
      </w:pPr>
      <w:r>
        <w:rPr>
          <w:sz w:val="20"/>
          <w:szCs w:val="20"/>
        </w:rPr>
        <w:t>pela média aritmética simples, correspondente a 100% (cem por cento) do período contributivo a partir de julho de 1994. O valor do benefício corresponderá a 60% da média, com acréscimo de dois pontos percentuais para cada ano de contribuição que exceder o tempo de 20 anos de contribuição e não poderá ser inferior ao salário mínimo e nem superior ao limite máximo estabelecido para o RGPS.</w:t>
      </w:r>
    </w:p>
    <w:p>
      <w:pPr>
        <w:pStyle w:val="Normal"/>
        <w:ind w:hanging="0" w:start="1440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ind w:hanging="0" w:start="1440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Reajuste dos proventos: </w:t>
      </w:r>
    </w:p>
    <w:p>
      <w:pPr>
        <w:pStyle w:val="Normal"/>
        <w:ind w:hanging="0" w:start="1440" w:end="0"/>
        <w:jc w:val="both"/>
        <w:rPr>
          <w:sz w:val="20"/>
          <w:szCs w:val="20"/>
        </w:rPr>
      </w:pPr>
      <w:r>
        <w:rPr>
          <w:sz w:val="20"/>
          <w:szCs w:val="20"/>
        </w:rPr>
        <w:t>índices de reajustes do RGPS.</w:t>
      </w:r>
    </w:p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40" w:before="0" w:after="0"/>
        <w:ind w:hanging="0" w:start="113" w:end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pacing w:lineRule="auto" w:line="240" w:before="0" w:after="0"/>
        <w:ind w:hanging="360" w:start="720" w:end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 xml:space="preserve">Art. 20 Emenda Constitucional nº 103, de 2019 (Regra de </w:t>
      </w:r>
      <w:r>
        <w:rPr>
          <w:sz w:val="20"/>
          <w:szCs w:val="20"/>
        </w:rPr>
        <w:t>Pedágio</w:t>
      </w:r>
      <w:r>
        <w:rPr>
          <w:sz w:val="20"/>
          <w:szCs w:val="20"/>
        </w:rPr>
        <w:t>)</w:t>
      </w:r>
    </w:p>
    <w:p>
      <w:pPr>
        <w:pStyle w:val="Normal"/>
        <w:ind w:hanging="0" w:start="720" w:end="0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numPr>
          <w:ilvl w:val="0"/>
          <w:numId w:val="6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idade mínima (60 anos/homem, 57 anos mulher);</w:t>
      </w:r>
    </w:p>
    <w:p>
      <w:pPr>
        <w:pStyle w:val="Normal"/>
        <w:numPr>
          <w:ilvl w:val="0"/>
          <w:numId w:val="6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contribuição (35 anos/homem,30 anos/mulher);</w:t>
      </w:r>
    </w:p>
    <w:p>
      <w:pPr>
        <w:pStyle w:val="Normal"/>
        <w:numPr>
          <w:ilvl w:val="0"/>
          <w:numId w:val="6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efetivo exercício no serviço público (20 anos);</w:t>
      </w:r>
    </w:p>
    <w:p>
      <w:pPr>
        <w:pStyle w:val="Normal"/>
        <w:numPr>
          <w:ilvl w:val="0"/>
          <w:numId w:val="6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no cargo em que ser a aposentadoria (5 anos);</w:t>
      </w:r>
    </w:p>
    <w:p>
      <w:pPr>
        <w:pStyle w:val="Normal"/>
        <w:numPr>
          <w:ilvl w:val="0"/>
          <w:numId w:val="6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pedágio correspondente ao tempo que em 13/11/2019, faltava para o homem atingir os 35 anos de contribuição e para a mulher atingir os 30 anos de contribuição.</w:t>
      </w:r>
    </w:p>
    <w:p>
      <w:pPr>
        <w:pStyle w:val="Normal"/>
        <w:ind w:hanging="0" w:start="1440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1440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1 - Cálculos dos proventos para os servidores que tenham ingressado até 31/12/2003: </w:t>
      </w:r>
    </w:p>
    <w:p>
      <w:pPr>
        <w:pStyle w:val="Normal"/>
        <w:numPr>
          <w:ilvl w:val="0"/>
          <w:numId w:val="7"/>
        </w:numPr>
        <w:ind w:hanging="360" w:start="2160" w:end="0"/>
        <w:jc w:val="both"/>
        <w:rPr>
          <w:sz w:val="20"/>
          <w:szCs w:val="20"/>
        </w:rPr>
      </w:pPr>
      <w:r>
        <w:rPr>
          <w:sz w:val="20"/>
          <w:szCs w:val="20"/>
        </w:rPr>
        <w:t>Os proventos corresponderão à totalidade da remuneração do cargo efetivo em que se der a aposentadoria (integralidade), desde que atendidos os requisitos previstos no § 2º do art. 20 da Emenda Constitucional nº 103, de 2019.</w:t>
      </w:r>
    </w:p>
    <w:p>
      <w:pPr>
        <w:pStyle w:val="Normal"/>
        <w:numPr>
          <w:ilvl w:val="0"/>
          <w:numId w:val="0"/>
        </w:numPr>
        <w:ind w:hanging="0" w:start="0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1417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Reajuste dos proventos: </w:t>
      </w:r>
    </w:p>
    <w:p>
      <w:pPr>
        <w:pStyle w:val="Normal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  <w:t>de acordo com os índices aplicados à revisão de remuneração dos servidores em atividade (paridade).</w:t>
      </w:r>
    </w:p>
    <w:p>
      <w:pPr>
        <w:pStyle w:val="Normal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1417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2 - Cálculos dos proventos para os servidores que tenham ingressado após 31/12/2003 e até 12/11/2019: </w:t>
      </w:r>
    </w:p>
    <w:p>
      <w:pPr>
        <w:pStyle w:val="Normal"/>
        <w:numPr>
          <w:ilvl w:val="0"/>
          <w:numId w:val="7"/>
        </w:numPr>
        <w:ind w:hanging="360" w:start="216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proventos corresponderão a 100% (cem por cento) da média aritmética simples de todas as remunerações e salários de contribuição utilizados como base para as contribuições, atualizados monetariamente, desde julho de 1994 ou desde o início da contribuição, se posterior, observado o disposto no art. 20 da Emenda Constitucional nº 103, de 2019. </w:t>
      </w:r>
    </w:p>
    <w:p>
      <w:pPr>
        <w:pStyle w:val="Normal"/>
        <w:numPr>
          <w:ilvl w:val="0"/>
          <w:numId w:val="0"/>
        </w:numPr>
        <w:ind w:hanging="0" w:start="2160" w:end="0"/>
        <w:jc w:val="both"/>
        <w:rPr>
          <w:sz w:val="20"/>
          <w:szCs w:val="20"/>
        </w:rPr>
      </w:pPr>
      <w:r>
        <w:rPr>
          <w:sz w:val="20"/>
          <w:szCs w:val="20"/>
        </w:rPr>
        <w:t>Para os servidores submetidos ao Regime de Previdência Complementar, os proventos ficam limitados ao teto do Regime Geral de Previdência Social (RGPS), observado o disposto na legislação específica.</w:t>
      </w:r>
    </w:p>
    <w:p>
      <w:pPr>
        <w:pStyle w:val="Normal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1417" w:end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Reajuste dos proventos: </w:t>
      </w:r>
    </w:p>
    <w:p>
      <w:pPr>
        <w:pStyle w:val="Normal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  <w:t>índices de reajustes do RGPS.</w:t>
      </w:r>
    </w:p>
    <w:p>
      <w:pPr>
        <w:pStyle w:val="Normal"/>
        <w:ind w:hanging="0" w:start="141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0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1"/>
        </w:numPr>
        <w:ind w:hanging="360" w:start="720" w:end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  ] </w:t>
      </w:r>
      <w:r>
        <w:rPr>
          <w:sz w:val="20"/>
          <w:szCs w:val="20"/>
        </w:rPr>
        <w:t>Art. 22 da EC nº 103, de 2019 combinado com o Art. 40, § 4º, I da Constituição Federal e Lei Complementar 142, de 8 de maio de 2013 - Aposentadoria do servidor com deficiência</w:t>
      </w:r>
    </w:p>
    <w:p>
      <w:pPr>
        <w:pStyle w:val="Normal"/>
        <w:ind w:hanging="0" w:start="720" w:end="0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Requisitos necessários:</w:t>
      </w:r>
    </w:p>
    <w:p>
      <w:pPr>
        <w:pStyle w:val="Normal"/>
        <w:numPr>
          <w:ilvl w:val="0"/>
          <w:numId w:val="10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mínimo de (10 anos) de efetivo exercício no serviço público;</w:t>
      </w:r>
    </w:p>
    <w:p>
      <w:pPr>
        <w:pStyle w:val="Normal"/>
        <w:numPr>
          <w:ilvl w:val="0"/>
          <w:numId w:val="10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mínimo de (5 anos) no cargo efetivo em que se der a aposentadoria;</w:t>
      </w:r>
    </w:p>
    <w:p>
      <w:pPr>
        <w:pStyle w:val="Normal"/>
        <w:numPr>
          <w:ilvl w:val="0"/>
          <w:numId w:val="10"/>
        </w:numPr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tempo de contribuição, idade e grau de deficiência, conforme abaixo:</w:t>
      </w:r>
    </w:p>
    <w:p>
      <w:pPr>
        <w:pStyle w:val="Normal"/>
        <w:numPr>
          <w:ilvl w:val="0"/>
          <w:numId w:val="22"/>
        </w:numPr>
        <w:ind w:hanging="360" w:start="2160" w:end="0"/>
        <w:rPr>
          <w:sz w:val="20"/>
          <w:szCs w:val="20"/>
        </w:rPr>
      </w:pPr>
      <w:r>
        <w:rPr>
          <w:sz w:val="20"/>
          <w:szCs w:val="20"/>
        </w:rPr>
        <w:t>aos 25 (vinte e cinco) anos de tempo de contribuição, se homem, e 20 (vinte) anos, se mulher, no caso de servidor com deficiência grave;</w:t>
      </w:r>
    </w:p>
    <w:p>
      <w:pPr>
        <w:pStyle w:val="Normal"/>
        <w:numPr>
          <w:ilvl w:val="0"/>
          <w:numId w:val="22"/>
        </w:numPr>
        <w:ind w:hanging="360" w:start="2160" w:end="0"/>
        <w:rPr>
          <w:sz w:val="20"/>
          <w:szCs w:val="20"/>
        </w:rPr>
      </w:pPr>
      <w:r>
        <w:rPr>
          <w:sz w:val="20"/>
          <w:szCs w:val="20"/>
        </w:rPr>
        <w:t>aos 29 (vinte e nove) anos de tempo de contribuição, se homem, e 24 (vinte e quatro) anos, se mulher, no caso de servidor com deficiência moderada;</w:t>
      </w:r>
    </w:p>
    <w:p>
      <w:pPr>
        <w:pStyle w:val="Normal"/>
        <w:numPr>
          <w:ilvl w:val="0"/>
          <w:numId w:val="22"/>
        </w:numPr>
        <w:ind w:hanging="360" w:start="2160" w:end="0"/>
        <w:rPr>
          <w:sz w:val="20"/>
          <w:szCs w:val="20"/>
        </w:rPr>
      </w:pPr>
      <w:r>
        <w:rPr>
          <w:sz w:val="20"/>
          <w:szCs w:val="20"/>
        </w:rPr>
        <w:t>aos 33 (trinta e três) anos de tempo de contribuição, se homem, e 28 (vinte e oito) anos, se mulher, no caso de servidor com deficiência leve; ou</w:t>
      </w:r>
    </w:p>
    <w:p>
      <w:pPr>
        <w:pStyle w:val="Normal"/>
        <w:numPr>
          <w:ilvl w:val="0"/>
          <w:numId w:val="22"/>
        </w:numPr>
        <w:ind w:hanging="360" w:start="2160" w:end="0"/>
        <w:rPr>
          <w:sz w:val="20"/>
          <w:szCs w:val="20"/>
        </w:rPr>
      </w:pPr>
      <w:r>
        <w:rPr>
          <w:sz w:val="20"/>
          <w:szCs w:val="20"/>
        </w:rPr>
        <w:t>aos 60 (sessenta) anos de idade, se homem, e 55 (cinquenta e cinco) anos de idade, se mulher, independentemente do grau de deficiência, desde que cumprido tempo mínimo de contribuição de 15 (quinze) anos e comprovada a existência de deficiência durante igual período.</w:t>
      </w:r>
    </w:p>
    <w:p>
      <w:pPr>
        <w:pStyle w:val="Normal"/>
        <w:tabs>
          <w:tab w:val="clear" w:pos="720"/>
          <w:tab w:val="left" w:pos="420" w:leader="none"/>
        </w:tabs>
        <w:spacing w:lineRule="auto" w:line="228" w:before="0" w:after="0"/>
        <w:ind w:hanging="0" w:start="132" w:end="24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start="113" w:end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447" w:type="dxa"/>
        <w:jc w:val="start"/>
        <w:tblInd w:w="10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</w:tblPr>
      <w:tblGrid>
        <w:gridCol w:w="9447"/>
      </w:tblGrid>
      <w:tr>
        <w:trPr>
          <w:trHeight w:val="424" w:hRule="atLeast"/>
        </w:trPr>
        <w:tc>
          <w:tcPr>
            <w:tcW w:w="9447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DECLARAÇÕES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Declaro, para fins de concessão de aposentadoria voluntária, que em relação a: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9447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Exercício de cargo, emprego ou função pública (marque apenas uma das opções):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Não acumulo cargo público, emprego público ou função pública.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Sim, acumulo outro cargo, emprego ou função pública de: Indicar cargo, emprego ou função:</w:t>
            </w:r>
          </w:p>
          <w:p>
            <w:pPr>
              <w:pStyle w:val="Normal"/>
              <w:numPr>
                <w:ilvl w:val="1"/>
                <w:numId w:val="14"/>
              </w:numPr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Vinculado ao (órgão): _________________(informar o órgão)</w:t>
            </w:r>
          </w:p>
        </w:tc>
      </w:tr>
      <w:tr>
        <w:trPr/>
        <w:tc>
          <w:tcPr>
            <w:tcW w:w="94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Aposentadoria (marque apenas uma das opções):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Não percebo nenhuma aposentadoria.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 xml:space="preserve">Sim, percebo outra aposentadoria decorrente da então vinculação ao cargo, emprego ou função. </w:t>
            </w:r>
          </w:p>
          <w:p>
            <w:pPr>
              <w:pStyle w:val="Normal"/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Indicar cargo, emprego ou função abaixo: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manutenção por: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Órgão/Entidade, integrante de esfera Federal ( ) Municipal ( ) Estadual ( )</w:t>
            </w:r>
          </w:p>
          <w:p>
            <w:pPr>
              <w:pStyle w:val="Normal"/>
              <w:ind w:hanging="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ind w:hanging="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Órgão ou entidade:</w:t>
            </w:r>
          </w:p>
          <w:p>
            <w:pPr>
              <w:pStyle w:val="Normal"/>
              <w:ind w:hanging="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8"/>
              </w:numPr>
              <w:ind w:hanging="36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RGPS</w:t>
            </w:r>
          </w:p>
        </w:tc>
      </w:tr>
      <w:tr>
        <w:trPr>
          <w:trHeight w:val="400" w:hRule="atLeast"/>
        </w:trPr>
        <w:tc>
          <w:tcPr>
            <w:tcW w:w="9447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0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0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Pensionista (marque apenas uma das opções):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420" w:leader="none"/>
              </w:tabs>
              <w:spacing w:lineRule="auto" w:line="228"/>
              <w:ind w:hanging="0" w:start="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</w:t>
            </w:r>
            <w:r>
              <w:rPr>
                <w:sz w:val="20"/>
                <w:szCs w:val="20"/>
              </w:rPr>
              <w:t>Não percebo nenhuma pensão por morte deixada por cônjuge ou companheiro mantida pela RPPS, RGPS ou decorrentes das atividades de militares de que tratam os arts. 42 e 142 da Constituição Federal.</w:t>
            </w:r>
          </w:p>
          <w:p>
            <w:pPr>
              <w:pStyle w:val="Normal"/>
              <w:numPr>
                <w:ilvl w:val="0"/>
                <w:numId w:val="24"/>
              </w:numPr>
              <w:tabs>
                <w:tab w:val="clear" w:pos="720"/>
                <w:tab w:val="left" w:pos="420" w:leader="none"/>
              </w:tabs>
              <w:spacing w:lineRule="auto" w:line="228"/>
              <w:ind w:hanging="0" w:start="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420" w:leader="none"/>
              </w:tabs>
              <w:spacing w:lineRule="auto" w:line="228"/>
              <w:ind w:hanging="0" w:start="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  ]  </w:t>
            </w:r>
            <w:r>
              <w:rPr>
                <w:sz w:val="20"/>
                <w:szCs w:val="20"/>
              </w:rPr>
              <w:t>Sim, percebo pensão por morte deixada por cônjuge ou companheiro.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72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72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sim, indicar a manutenção: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44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( ) RPPS (Órgão/Entidade) indicar qual: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44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44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( ) RGPS.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44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440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( ) Decorrentes das atividades de militares de que tratam os arts. 42 e 142 da Constituição Federal.</w:t>
            </w:r>
          </w:p>
        </w:tc>
      </w:tr>
      <w:tr>
        <w:trPr>
          <w:trHeight w:val="400" w:hRule="atLeast"/>
        </w:trPr>
        <w:tc>
          <w:tcPr>
            <w:tcW w:w="9447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9447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Veracidade das informações: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informações ora prestadas são verdadeiras, sob pena de responsabilidade administrativa, civil e penal, conforme Art. 299 do Código Penal Brasileiro.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4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Manifesto ciência que: 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360" w:before="1" w:after="0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 aguardar, no exercício de minhas atividades laborais, a publicação da Portaria de Concessão de aposentadoria no Diário Oficial da União -D.O.U.;</w:t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Concretizada minha aposentadoria, deverei comparecer, anualmente, no mês do meu aniversário, à agência bancária na qual percebo os meus proventos para realizar o Recadastramento (prova de vida), nos termos da legislação vigente.</w:t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 manter meu cadastro atualizado junto a Unidade de Gestão de Pessoas de minha vinculação</w:t>
            </w:r>
          </w:p>
          <w:p>
            <w:pPr>
              <w:pStyle w:val="Normal"/>
              <w:tabs>
                <w:tab w:val="clear" w:pos="720"/>
                <w:tab w:val="left" w:pos="420" w:leader="none"/>
              </w:tabs>
              <w:spacing w:lineRule="auto" w:line="228"/>
              <w:ind w:hanging="0" w:start="132" w:end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4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</w:tcPr>
          <w:p>
            <w:pPr>
              <w:pStyle w:val="Normal"/>
              <w:spacing w:lineRule="auto" w:line="360" w:before="1" w:after="0"/>
              <w:ind w:hanging="0" w:start="132" w:end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Assinatura eletrônica do(a) Servidor(a)</w:t>
            </w:r>
          </w:p>
          <w:p>
            <w:pPr>
              <w:pStyle w:val="Normal"/>
              <w:spacing w:lineRule="auto" w:line="360" w:before="1" w:after="0"/>
              <w:ind w:hanging="0" w:start="132" w:end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hanging="0" w:start="485" w:end="0"/>
        <w:rPr>
          <w:rFonts w:ascii="Arial MT" w:hAnsi="Arial MT" w:eastAsia="Arial MT" w:cs="Arial MT"/>
          <w:sz w:val="14"/>
          <w:szCs w:val="14"/>
        </w:rPr>
      </w:pPr>
      <w:r>
        <w:rPr>
          <w:rFonts w:eastAsia="Arial MT" w:cs="Arial MT" w:ascii="Arial MT" w:hAnsi="Arial MT"/>
          <w:sz w:val="14"/>
          <w:szCs w:val="14"/>
        </w:rPr>
      </w:r>
    </w:p>
    <w:p>
      <w:pPr>
        <w:pStyle w:val="Normal"/>
        <w:spacing w:lineRule="auto" w:line="240" w:before="0" w:after="0"/>
        <w:ind w:hanging="0" w:start="485" w:end="0"/>
        <w:jc w:val="start"/>
        <w:rPr/>
      </w:pPr>
      <w:r>
        <w:rPr/>
      </w:r>
    </w:p>
    <w:sectPr>
      <w:type w:val="nextPage"/>
      <w:pgSz w:w="11920" w:h="16850"/>
      <w:pgMar w:left="840" w:right="1520" w:gutter="0" w:header="0" w:top="80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 MT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lowerLetter"/>
      <w:lvlText w:val="%1)"/>
      <w:lvlJc w:val="start"/>
      <w:pPr>
        <w:tabs>
          <w:tab w:val="num" w:pos="0"/>
        </w:tabs>
        <w:ind w:start="2160" w:hanging="360"/>
      </w:pPr>
      <w:rPr>
        <w:sz w:val="20"/>
        <w:u w:val="none"/>
      </w:rPr>
    </w:lvl>
    <w:lvl w:ilvl="1">
      <w:start w:val="1"/>
      <w:numFmt w:val="lowerRoman"/>
      <w:lvlText w:val="%2)"/>
      <w:lvlJc w:val="end"/>
      <w:pPr>
        <w:tabs>
          <w:tab w:val="num" w:pos="0"/>
        </w:tabs>
        <w:ind w:start="2880" w:hanging="360"/>
      </w:pPr>
      <w:rPr>
        <w:u w:val="none"/>
      </w:rPr>
    </w:lvl>
    <w:lvl w:ilvl="2">
      <w:start w:val="1"/>
      <w:numFmt w:val="decimal"/>
      <w:lvlText w:val="%3)"/>
      <w:lvlJc w:val="start"/>
      <w:pPr>
        <w:tabs>
          <w:tab w:val="num" w:pos="0"/>
        </w:tabs>
        <w:ind w:start="3600" w:hanging="360"/>
      </w:pPr>
      <w:rPr>
        <w:u w:val="none"/>
      </w:rPr>
    </w:lvl>
    <w:lvl w:ilvl="3">
      <w:start w:val="1"/>
      <w:numFmt w:val="lowerLetter"/>
      <w:lvlText w:val="(%4)"/>
      <w:lvlJc w:val="start"/>
      <w:pPr>
        <w:tabs>
          <w:tab w:val="num" w:pos="0"/>
        </w:tabs>
        <w:ind w:start="4320" w:hanging="360"/>
      </w:pPr>
      <w:rPr>
        <w:u w:val="none"/>
      </w:rPr>
    </w:lvl>
    <w:lvl w:ilvl="4">
      <w:start w:val="1"/>
      <w:numFmt w:val="lowerRoman"/>
      <w:lvlText w:val="(%5)"/>
      <w:lvlJc w:val="end"/>
      <w:pPr>
        <w:tabs>
          <w:tab w:val="num" w:pos="0"/>
        </w:tabs>
        <w:ind w:start="5040" w:hanging="360"/>
      </w:pPr>
      <w:rPr>
        <w:u w:val="none"/>
      </w:rPr>
    </w:lvl>
    <w:lvl w:ilvl="5">
      <w:start w:val="1"/>
      <w:numFmt w:val="decimal"/>
      <w:lvlText w:val="(%6)"/>
      <w:lvlJc w:val="start"/>
      <w:pPr>
        <w:tabs>
          <w:tab w:val="num" w:pos="0"/>
        </w:tabs>
        <w:ind w:start="5760" w:hanging="360"/>
      </w:pPr>
      <w:rPr>
        <w:u w:val="none"/>
      </w:rPr>
    </w:lvl>
    <w:lvl w:ilvl="6">
      <w:start w:val="1"/>
      <w:numFmt w:val="lowerLetter"/>
      <w:lvlText w:val="%7."/>
      <w:lvlJc w:val="start"/>
      <w:pPr>
        <w:tabs>
          <w:tab w:val="num" w:pos="0"/>
        </w:tabs>
        <w:ind w:start="6480" w:hanging="360"/>
      </w:pPr>
      <w:rPr>
        <w:u w:val="none"/>
      </w:rPr>
    </w:lvl>
    <w:lvl w:ilvl="7">
      <w:start w:val="1"/>
      <w:numFmt w:val="lowerRoman"/>
      <w:lvlText w:val="%8."/>
      <w:lvlJc w:val="end"/>
      <w:pPr>
        <w:tabs>
          <w:tab w:val="num" w:pos="0"/>
        </w:tabs>
        <w:ind w:start="7200" w:hanging="360"/>
      </w:pPr>
      <w:rPr>
        <w:u w:val="none"/>
      </w:rPr>
    </w:lvl>
    <w:lvl w:ilvl="8">
      <w:start w:val="1"/>
      <w:numFmt w:val="decimal"/>
      <w:lvlText w:val="%9."/>
      <w:lvlJc w:val="start"/>
      <w:pPr>
        <w:tabs>
          <w:tab w:val="num" w:pos="0"/>
        </w:tabs>
        <w:ind w:start="7920" w:hanging="360"/>
      </w:pPr>
      <w:rPr>
        <w:u w:val="none"/>
      </w:rPr>
    </w:lvl>
  </w:abstractNum>
  <w:abstractNum w:abstractNumId="8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</w:abstractNum>
  <w:abstractNum w:abstractNumId="21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2">
    <w:lvl w:ilvl="0">
      <w:start w:val="1"/>
      <w:numFmt w:val="bullet"/>
      <w:lvlText w:val="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◆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4">
      <w:start w:val="1"/>
      <w:numFmt w:val="bullet"/>
      <w:lvlText w:val="◆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7">
      <w:start w:val="1"/>
      <w:numFmt w:val="bullet"/>
      <w:lvlText w:val="◆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"/>
      <w:lvlJc w:val="start"/>
      <w:pPr>
        <w:tabs>
          <w:tab w:val="num" w:pos="0"/>
        </w:tabs>
        <w:ind w:start="7920" w:hanging="360"/>
      </w:pPr>
      <w:rPr>
        <w:rFonts w:ascii="Wingdings" w:hAnsi="Wingdings" w:cs="Wingdings" w:hint="default"/>
        <w:u w:val="none"/>
      </w:rPr>
    </w:lvl>
  </w:abstractNum>
  <w:abstractNum w:abstractNumId="23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20"/>
        <w:u w:val="none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24">
    <w:lvl w:ilvl="0">
      <w:start w:val="1"/>
      <w:numFmt w:val="bullet"/>
      <w:lvlText w:val="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sz w:val="20"/>
        <w:u w:val="non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Heading1">
    <w:name w:val="heading 1"/>
    <w:basedOn w:val="normal1"/>
    <w:next w:val="Normal"/>
    <w:qFormat/>
    <w:pPr>
      <w:spacing w:lineRule="auto" w:line="240" w:before="73" w:after="0"/>
      <w:ind w:hanging="0" w:start="2950" w:end="0"/>
    </w:pPr>
    <w:rPr>
      <w:rFonts w:ascii="Arial" w:hAnsi="Arial" w:eastAsia="Arial" w:cs="Arial"/>
      <w:b/>
      <w:sz w:val="16"/>
      <w:szCs w:val="16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"/>
    <w:qFormat/>
    <w:pPr>
      <w:spacing w:lineRule="auto" w:line="240" w:before="93" w:after="0"/>
      <w:ind w:hanging="0" w:start="1416" w:end="1453"/>
      <w:jc w:val="center"/>
    </w:pPr>
    <w:rPr>
      <w:rFonts w:ascii="Arial" w:hAnsi="Arial" w:eastAsia="Arial" w:cs="Arial"/>
      <w:b/>
      <w:sz w:val="20"/>
      <w:szCs w:val="20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LibreOffice/25.2.6.2$Linux_X86_64 LibreOffice_project/729c5bfe710f5eb71ed3bbde9e06a6065e9c6c5d</Application>
  <AppVersion>15.0000</AppVersion>
  <Pages>4</Pages>
  <Words>1661</Words>
  <Characters>8418</Characters>
  <CharactersWithSpaces>9965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2026-07-07T10:00:48Z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2021-02-25T00:00:00Z</vt:lpwstr>
  </property>
  <property fmtid="{D5CDD505-2E9C-101B-9397-08002B2CF9AE}" pid="3" name="Creator">
    <vt:lpwstr>PDFium</vt:lpwstr>
  </property>
  <property fmtid="{D5CDD505-2E9C-101B-9397-08002B2CF9AE}" pid="4" name="LastSaved">
    <vt:lpwstr>2021-02-25T00:00:00Z</vt:lpwstr>
  </property>
</Properties>
</file>