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"/>
        <w:tblW w:w="96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15"/>
      </w:tblGrid>
      <w:tr>
        <w:trPr>
          <w:trHeight w:val="755" w:hRule="atLeast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ind w:right="-62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DECLARAÇÃO DE ANUÊNCIA DA(s) CHEFIA(s)</w:t>
            </w:r>
          </w:p>
          <w:p>
            <w:pPr>
              <w:pStyle w:val="Normal1"/>
              <w:widowControl w:val="false"/>
              <w:spacing w:lineRule="auto" w:line="16" w:before="240" w:after="140"/>
              <w:ind w:right="-62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LICENÇA CAPACITAÇÃO - TAES</w:t>
            </w:r>
          </w:p>
        </w:tc>
      </w:tr>
    </w:tbl>
    <w:p>
      <w:pPr>
        <w:pStyle w:val="Normal1"/>
        <w:spacing w:lineRule="auto" w:line="16" w:before="240" w:after="140"/>
        <w:jc w:val="center"/>
        <w:rPr/>
      </w:pPr>
      <w:r>
        <w:rPr/>
      </w:r>
    </w:p>
    <w:p>
      <w:pPr>
        <w:pStyle w:val="Normal1"/>
        <w:spacing w:lineRule="auto" w:line="16" w:before="240" w:after="14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Para preenchimento da chefia imediata e do(a) gestor(a) máximo(a) da macrounidade</w:t>
      </w:r>
    </w:p>
    <w:p>
      <w:pPr>
        <w:pStyle w:val="Normal1"/>
        <w:spacing w:lineRule="auto" w:line="16" w:before="240" w:after="140"/>
        <w:jc w:val="both"/>
        <w:rPr/>
      </w:pPr>
      <w:r>
        <w:rPr/>
      </w:r>
    </w:p>
    <w:p>
      <w:pPr>
        <w:pStyle w:val="Normal1"/>
        <w:spacing w:lineRule="auto" w:line="14" w:before="240" w:after="0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Orientações:</w:t>
      </w:r>
    </w:p>
    <w:p>
      <w:pPr>
        <w:pStyle w:val="Normal1"/>
        <w:numPr>
          <w:ilvl w:val="0"/>
          <w:numId w:val="1"/>
        </w:numPr>
        <w:spacing w:lineRule="auto" w:line="240" w:before="240" w:afterAutospacing="0" w:after="0"/>
        <w:ind w:left="425" w:hanging="360"/>
        <w:rPr/>
      </w:pPr>
      <w:r>
        <w:rPr>
          <w:rFonts w:eastAsia="Arial" w:cs="Arial" w:ascii="Arial" w:hAnsi="Arial"/>
          <w:sz w:val="18"/>
          <w:szCs w:val="18"/>
          <w:highlight w:val="white"/>
        </w:rPr>
        <w:t>Documentos em língua estrangeira deverão apresentar tradução, constando identificação do responsável;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40"/>
        <w:ind w:left="425" w:hanging="360"/>
        <w:rPr/>
      </w:pPr>
      <w:r>
        <w:rPr>
          <w:rFonts w:eastAsia="Arial" w:cs="Arial" w:ascii="Arial" w:hAnsi="Arial"/>
          <w:sz w:val="18"/>
          <w:szCs w:val="18"/>
          <w:highlight w:val="white"/>
        </w:rPr>
        <w:t>O presente documento deverá ser assinado pela chefia imediata, com ratificação do gestor da macrounidade.</w:t>
      </w:r>
    </w:p>
    <w:p>
      <w:pPr>
        <w:pStyle w:val="Normal1"/>
        <w:spacing w:lineRule="auto" w:line="14" w:before="240" w:after="0"/>
        <w:jc w:val="both"/>
        <w:rPr/>
      </w:pPr>
      <w:r>
        <w:rPr/>
      </w:r>
    </w:p>
    <w:tbl>
      <w:tblPr>
        <w:tblStyle w:val="Table2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0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 INFORMAÇÕES GERAIS</w:t>
            </w:r>
          </w:p>
        </w:tc>
      </w:tr>
      <w:tr>
        <w:trPr>
          <w:trHeight w:val="42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1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 do(a) servidor(a) solicitante:</w:t>
            </w:r>
          </w:p>
        </w:tc>
      </w:tr>
      <w:tr>
        <w:trPr>
          <w:trHeight w:val="470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16" w:before="240" w:after="1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de realização da licença capacitação: ___/___/20__ à ___/___/20__</w:t>
            </w:r>
          </w:p>
        </w:tc>
      </w:tr>
    </w:tbl>
    <w:p>
      <w:pPr>
        <w:pStyle w:val="Normal1"/>
        <w:spacing w:lineRule="auto" w:line="14" w:before="240" w:after="0"/>
        <w:jc w:val="center"/>
        <w:rPr/>
      </w:pPr>
      <w:r>
        <w:rPr/>
      </w:r>
    </w:p>
    <w:tbl>
      <w:tblPr>
        <w:tblStyle w:val="Table3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0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 INFORMAÇÕES SOBRE A LICENÇA</w:t>
            </w:r>
          </w:p>
        </w:tc>
      </w:tr>
      <w:tr>
        <w:trPr>
          <w:trHeight w:val="54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2.1 Relevância da ação de desenvolvimento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(demonstrar a necessidade e aplicabilidade das atividades que serão realizadas e o interesse da administração pública na ação, visando o desenvolvimento do servidor)</w:t>
            </w:r>
          </w:p>
        </w:tc>
      </w:tr>
      <w:tr>
        <w:trPr>
          <w:trHeight w:val="1410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916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2.2 Demonstrar como a ausência do servidor não trará prejuízos às suas obrigações perante a instituição </w:t>
            </w:r>
            <w:r>
              <w:rPr>
                <w:rFonts w:eastAsia="Arial" w:cs="Arial" w:ascii="Arial" w:hAnsi="Arial"/>
                <w:sz w:val="18"/>
                <w:szCs w:val="18"/>
              </w:rPr>
              <w:t>(informação de quem assumirá os encargos administrativos do servidor durante o período da licença)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2.3 Justificar como o horário ou o local da ação de desenvolvimento inviabilizam o cumprimento das atividades previstas ou da jornada semanal de trabalho do servidor</w:t>
            </w:r>
            <w:r>
              <w:rPr>
                <w:rFonts w:eastAsia="Arial" w:cs="Arial" w:ascii="Arial" w:hAnsi="Arial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(art. 19 do Decreto nº 9.991/2019)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2.4 Especificar se a ação de desenvolvimento está alinhada ao desenvolvimento do servidor nas competências relativas ao seu órgão de exercício/lotação, à sua carreira/cargo efetivo; ou ao seu cargo em comissão ou a sua função de confiança (quando for o caso).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1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2.5 Demais esclarecimentos que julgar pertinente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</w:tbl>
    <w:p>
      <w:pPr>
        <w:pStyle w:val="Normal1"/>
        <w:spacing w:lineRule="auto" w:line="14" w:before="240" w:after="0"/>
        <w:jc w:val="center"/>
        <w:rPr/>
      </w:pPr>
      <w:r>
        <w:rPr/>
      </w:r>
    </w:p>
    <w:tbl>
      <w:tblPr>
        <w:tblStyle w:val="Table4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0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 TERMO DE CIÊNCIA</w:t>
            </w:r>
          </w:p>
        </w:tc>
      </w:tr>
      <w:tr>
        <w:trPr>
          <w:trHeight w:val="237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Declaro que analisei o requerimento e estou de acordo com a concessão da licença nos termos requeridos, incluindo os cursos a serem realizados pelo(a) servidor(a), considerando que: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1. Está em conformidade com o planejamento interno e com o interesse da unidade organizacional na ação;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2. Não inviabilizará o funcionamento da unidade organizacional; e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3. Foi analisado se o afastamento está previsto para período de maior demanda da força de trabalho.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Declaro que estou ciente que: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1. A chefia imediata também é responsável pelo acompanhamento da licença, por meio da assinatura do relatório de atividade e do recebimento de documentos comprobatórios;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2. Em caso de indeferimento do relatório apresentado, deverei comunicar a situação ao servidor para realização das adequações necessárias;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Ao identificar qualquer alteração ou inconsistência durante o período de licença, bem como a não entrega do relatório, deverei informar imediatamente ao DDPP/PROGEPE.</w:t>
            </w:r>
          </w:p>
        </w:tc>
      </w:tr>
      <w:tr>
        <w:trPr>
          <w:trHeight w:val="54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 declaração de anuência deverá ser assinada digitalmente pela chefia imediata e pelo(a) gestor(a) da unidade.</w:t>
            </w:r>
          </w:p>
        </w:tc>
      </w:tr>
    </w:tbl>
    <w:p>
      <w:pPr>
        <w:pStyle w:val="Normal1"/>
        <w:spacing w:lineRule="auto" w:line="14" w:before="240" w:after="0"/>
        <w:rPr/>
      </w:pPr>
      <w:r>
        <w:rPr/>
      </w:r>
    </w:p>
    <w:p>
      <w:pPr>
        <w:pStyle w:val="Normal1"/>
        <w:spacing w:lineRule="auto" w:line="14" w:before="240" w:after="0"/>
        <w:rPr/>
      </w:pPr>
      <w:r>
        <w:rPr/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1845" w:right="0" w:hanging="0"/>
      <w:jc w:val="left"/>
      <w:rPr>
        <w:sz w:val="22"/>
        <w:szCs w:val="22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-97790</wp:posOffset>
          </wp:positionH>
          <wp:positionV relativeFrom="paragraph">
            <wp:posOffset>-149225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u w:val="none"/>
        <w:szCs w:val="16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391</Words>
  <Characters>2331</Characters>
  <CharactersWithSpaces>2693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2022-04-18T15:51:03Z</dcterms:modified>
  <cp:revision>1</cp:revision>
  <dc:subject/>
  <dc:title/>
</cp:coreProperties>
</file>